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9E" w:rsidRDefault="0088739E" w:rsidP="00966F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26E1">
        <w:rPr>
          <w:noProof/>
          <w:color w:val="000000"/>
          <w:sz w:val="18"/>
          <w:szCs w:val="18"/>
        </w:rPr>
        <w:drawing>
          <wp:inline distT="0" distB="0" distL="0" distR="0" wp14:anchorId="05DFA5FE" wp14:editId="6FEFA8E8">
            <wp:extent cx="5760720" cy="5384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4a81bf558c1936afc0bbc57d255bf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9E" w:rsidRDefault="0088739E" w:rsidP="00966F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66F8A" w:rsidRPr="00966F8A" w:rsidRDefault="00B77F0E" w:rsidP="00966F8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43214">
        <w:rPr>
          <w:rFonts w:ascii="Times New Roman" w:hAnsi="Times New Roman" w:cs="Times New Roman"/>
          <w:b/>
          <w:u w:val="single"/>
        </w:rPr>
        <w:t>WZP/</w:t>
      </w:r>
      <w:r>
        <w:rPr>
          <w:rFonts w:ascii="Times New Roman" w:hAnsi="Times New Roman" w:cs="Times New Roman"/>
          <w:b/>
          <w:u w:val="single"/>
        </w:rPr>
        <w:t>WKR</w:t>
      </w:r>
      <w:r w:rsidRPr="00243214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..…</w:t>
      </w:r>
      <w:r w:rsidRPr="00243214"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  <w:b/>
          <w:u w:val="single"/>
        </w:rPr>
        <w:t>…..-</w:t>
      </w:r>
      <w:r w:rsidRPr="00243214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……</w:t>
      </w:r>
    </w:p>
    <w:p w:rsidR="0088739E" w:rsidRDefault="0088739E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9B24B5" w:rsidRDefault="00D22154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24B5">
        <w:rPr>
          <w:rFonts w:asciiTheme="minorHAnsi" w:hAnsiTheme="minorHAnsi" w:cstheme="minorHAnsi"/>
          <w:b/>
          <w:sz w:val="24"/>
          <w:szCs w:val="24"/>
        </w:rPr>
        <w:t>SZCZEGÓ</w:t>
      </w:r>
      <w:r w:rsidR="00102C9C" w:rsidRPr="009B24B5">
        <w:rPr>
          <w:rFonts w:asciiTheme="minorHAnsi" w:hAnsiTheme="minorHAnsi" w:cstheme="minorHAnsi"/>
          <w:b/>
          <w:sz w:val="24"/>
          <w:szCs w:val="24"/>
        </w:rPr>
        <w:t>ŁOWY OPIS PRZEDMIOTU ZAMÓWIENIA</w:t>
      </w:r>
    </w:p>
    <w:p w:rsidR="00D45647" w:rsidRPr="009B24B5" w:rsidRDefault="003F7B41" w:rsidP="00C9017F">
      <w:pPr>
        <w:pStyle w:val="Nagwek"/>
        <w:spacing w:after="0"/>
        <w:jc w:val="center"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Wydatek </w:t>
      </w:r>
      <w:r w:rsidR="00D45647" w:rsidRPr="009B24B5">
        <w:rPr>
          <w:rFonts w:asciiTheme="minorHAnsi" w:hAnsiTheme="minorHAnsi" w:cstheme="minorHAnsi"/>
          <w:color w:val="000000"/>
          <w:sz w:val="18"/>
          <w:szCs w:val="18"/>
          <w:u w:val="single"/>
        </w:rPr>
        <w:t>współfinansowany z Europejskiego Funduszu Społecznego</w:t>
      </w:r>
    </w:p>
    <w:p w:rsidR="00966F8A" w:rsidRPr="00423B96" w:rsidRDefault="00423B96" w:rsidP="0088739E">
      <w:pPr>
        <w:suppressAutoHyphens w:val="0"/>
        <w:spacing w:after="120" w:line="312" w:lineRule="auto"/>
        <w:ind w:left="284"/>
        <w:jc w:val="center"/>
        <w:rPr>
          <w:rFonts w:cs="Times New Roman"/>
          <w:b/>
          <w:color w:val="000000" w:themeColor="text1"/>
          <w:sz w:val="20"/>
          <w:u w:val="single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u w:val="single"/>
          <w:lang w:eastAsia="en-US"/>
        </w:rPr>
        <w:t>Szczegółowy opis przedmiotu zamówienia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Przedmiot zamówienia: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1. Przedmiotem zamówienia jest świadczenie przez Wykonawcę na rzecz Zamawiającego usług z zakresu medycyny pracy, polegających na wykonywaniu badań profilaktycznych pracowników Zamawiającego oraz kandydatów do pracy: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wstępnych, 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okresowych, 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kontrolnych, 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kontrolnych okulistycznych, 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psychotechnicznych kierowców, 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udział lekarza medycyny pracy w komisji BHP działającej u Zamawiającego - w ramach usług dodatkowych </w:t>
      </w:r>
    </w:p>
    <w:p w:rsidR="00423B96" w:rsidRPr="00423B96" w:rsidRDefault="00423B96" w:rsidP="00335BE4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2. Wystawianie  przez lekarza medycyny pracy orzeczeń lekarskich w związku z wykonywaniem wszystkich typów badań.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Informacje dodatkowe dotyczące przedmiotu zamówienia: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Badania wstępne powinny być wykonywane na terenie Warszawy w ciągu 2 dni roboczych od zgłoszenia Wykonawcy konieczności przebadania kandydata do pracy.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Badania kontrolne powinny być wykonywane na terenie Warszawy w ciągu 2 dni roboczych od zgłoszenia Wykonawcy konieczności przebadania kandydata do pracy.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Badania okresowe powinny być wykonywane na terenie Warszawy w ciągu 3 dni roboczych od zgłoszenia Wykonawcy konieczności przebadania pracownika.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 przypadku badań uprawniających do prowadzenia pojazdu kat. „B” w celach służbowych powinny być wykonywane na terenie Warszawy w ciągu 3 dni roboczych od zgłoszenia.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Wykonywanie badań powinno odbywać się w dni robocze, za wyjątkiem świąt oraz dni ustawowo wolnych od pracy, tj. od poniedziałku do piątku, w godzinach min. 8.00-16.00.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Świadczenia medyczne powinny być wykonywane przez personel lekarski, pielęgniarski i osoby posiadające odpowiednie kwalifikacje i uprawnienia.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Wykonawca jest zobowiązany do wykonywania czynności zgodnie z obowiązującymi przepisami, w szczególności:</w:t>
      </w:r>
    </w:p>
    <w:p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Ustawą z dnia 10 maja 2018 r. o ochronie danych osobowych (tj. </w:t>
      </w:r>
      <w:proofErr w:type="spellStart"/>
      <w:r w:rsidRPr="00423B96">
        <w:rPr>
          <w:rFonts w:cs="Times New Roman"/>
          <w:color w:val="000000" w:themeColor="text1"/>
          <w:sz w:val="20"/>
          <w:lang w:val="en-US" w:eastAsia="en-US"/>
        </w:rPr>
        <w:t>Dz.U</w:t>
      </w:r>
      <w:proofErr w:type="spellEnd"/>
      <w:r w:rsidRPr="00423B96">
        <w:rPr>
          <w:rFonts w:cs="Times New Roman"/>
          <w:color w:val="000000" w:themeColor="text1"/>
          <w:sz w:val="20"/>
          <w:lang w:val="en-US" w:eastAsia="en-US"/>
        </w:rPr>
        <w:t>. 201</w:t>
      </w:r>
      <w:r w:rsidR="00286CB2">
        <w:rPr>
          <w:rFonts w:cs="Times New Roman"/>
          <w:color w:val="000000" w:themeColor="text1"/>
          <w:sz w:val="20"/>
          <w:lang w:val="en-US" w:eastAsia="en-US"/>
        </w:rPr>
        <w:t xml:space="preserve">9 </w:t>
      </w:r>
      <w:proofErr w:type="spellStart"/>
      <w:r w:rsidR="00286CB2">
        <w:rPr>
          <w:rFonts w:cs="Times New Roman"/>
          <w:color w:val="000000" w:themeColor="text1"/>
          <w:sz w:val="20"/>
          <w:lang w:val="en-US" w:eastAsia="en-US"/>
        </w:rPr>
        <w:t>poz</w:t>
      </w:r>
      <w:proofErr w:type="spellEnd"/>
      <w:r w:rsidR="00286CB2">
        <w:rPr>
          <w:rFonts w:cs="Times New Roman"/>
          <w:color w:val="000000" w:themeColor="text1"/>
          <w:sz w:val="20"/>
          <w:lang w:val="en-US" w:eastAsia="en-US"/>
        </w:rPr>
        <w:t>. 1781</w:t>
      </w:r>
      <w:r w:rsidRPr="00423B96">
        <w:rPr>
          <w:rFonts w:cs="Times New Roman"/>
          <w:color w:val="000000" w:themeColor="text1"/>
          <w:sz w:val="20"/>
          <w:lang w:eastAsia="en-US"/>
        </w:rPr>
        <w:t>),</w:t>
      </w:r>
    </w:p>
    <w:p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lastRenderedPageBreak/>
        <w:t>Rozporządzeniem Ministra Zdrowia z dnia 20 lipca 2011 r. w sprawie kwalifikacji wymaganych od pracowników na poszczególnych rodzajach stanowisk pracy w podmiotach leczniczych niebędących przedsiębiorcami (Dz. U. 2011, nr 151, poz. 896),</w:t>
      </w:r>
    </w:p>
    <w:p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Rozporządzeniem Mi</w:t>
      </w:r>
      <w:r w:rsidR="00C55929">
        <w:rPr>
          <w:rFonts w:cs="Times New Roman"/>
          <w:color w:val="000000" w:themeColor="text1"/>
          <w:sz w:val="20"/>
          <w:lang w:eastAsia="en-US"/>
        </w:rPr>
        <w:t>nistra Zdrowia z dnia 26 marzec 2019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w sprawie szczegółów wymagań, jakim powinny odpowiadać pomieszczenia i urządzenia podmiotu wykonującego działalność leczniczą (Dz. U. 201</w:t>
      </w:r>
      <w:r w:rsidR="00C55929">
        <w:rPr>
          <w:rFonts w:cs="Times New Roman"/>
          <w:color w:val="000000" w:themeColor="text1"/>
          <w:sz w:val="20"/>
          <w:lang w:eastAsia="en-US"/>
        </w:rPr>
        <w:t>9, poz. 595</w:t>
      </w:r>
      <w:r w:rsidRPr="00423B96">
        <w:rPr>
          <w:rFonts w:cs="Times New Roman"/>
          <w:color w:val="000000" w:themeColor="text1"/>
          <w:sz w:val="20"/>
          <w:lang w:eastAsia="en-US"/>
        </w:rPr>
        <w:t>),</w:t>
      </w:r>
    </w:p>
    <w:p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Rozporządzeniem Ministra Zdrowia i Opieki Społecznej z dnia 30 maja 1996 r. w sprawie przeprowadzania badań lekarskich pracowników, zakresu profilaktycznej opieki zdrowotnej nad pracownikami oraz orzeczeń lekarskich wydawanych do celów przewidzianych w Kodeksie Pracy </w:t>
      </w:r>
      <w:r w:rsidR="00C55929">
        <w:rPr>
          <w:rFonts w:cs="Times New Roman"/>
          <w:color w:val="000000" w:themeColor="text1"/>
          <w:sz w:val="20"/>
          <w:lang w:eastAsia="en-US"/>
        </w:rPr>
        <w:t>(</w:t>
      </w:r>
      <w:r w:rsidR="00C55929">
        <w:rPr>
          <w:rFonts w:asciiTheme="minorHAnsi" w:hAnsiTheme="minorHAnsi" w:cstheme="minorHAnsi"/>
          <w:sz w:val="20"/>
          <w:szCs w:val="20"/>
        </w:rPr>
        <w:t>Dz. U.tj. z 2016 r. poz. 2067</w:t>
      </w:r>
      <w:r w:rsidR="00C55929">
        <w:rPr>
          <w:rFonts w:asciiTheme="minorHAnsi" w:hAnsiTheme="minorHAnsi" w:cstheme="minorHAnsi"/>
          <w:sz w:val="20"/>
          <w:szCs w:val="20"/>
        </w:rPr>
        <w:t xml:space="preserve"> 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z </w:t>
      </w:r>
      <w:proofErr w:type="spellStart"/>
      <w:r w:rsidRPr="00423B96">
        <w:rPr>
          <w:rFonts w:cs="Times New Roman"/>
          <w:color w:val="000000" w:themeColor="text1"/>
          <w:sz w:val="20"/>
          <w:lang w:eastAsia="en-US"/>
        </w:rPr>
        <w:t>późn</w:t>
      </w:r>
      <w:proofErr w:type="spellEnd"/>
      <w:r w:rsidRPr="00423B96">
        <w:rPr>
          <w:rFonts w:cs="Times New Roman"/>
          <w:color w:val="000000" w:themeColor="text1"/>
          <w:sz w:val="20"/>
          <w:lang w:eastAsia="en-US"/>
        </w:rPr>
        <w:t>. zm.).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Zlecenie usług następować będzie sukcesywnie, zgodnie z bieżącymi potrzebami Zamawiającego, każdorazowo na podstawie wystawionego przez Zamawiającego skierowania na badania.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Udział lekarza medycyny pracy w komisji BHP (w siedzibie MJWPU) następować będzie sukcesywnie, zgodnie z bieżącymi potrzebami Zamawiającego, każdorazowo na podstawie odrębnych zleceń Zamawiającego.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Rozliczenia będą wykonywane za dany miesiąc kalendarzowy. Przy wystawionej fakturze Wykonawca przedstawi wykaz faktycznie wykonanych usług. Zamawiający dokonuje płatności na podstawie faktur przelewowych wystawionych, z co najmniej 21 dni.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 wyłonionym Wykonawcą zostanie zawarta pisemna umowa, na podstawie własnych wzorów umów stosowanych w MJWPU.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Wynagrodzenie miesięczne z tytułu umowy stanowi iloczyn liczby poszczególnych usług i ich ceny jednostkowej brutto.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Zamówienie będzie realizowane przez okres 12 miesięcy.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Planowany termin rozpoczęcia realizacji zamówienia: 1 stycznia 2020 r.</w:t>
      </w:r>
    </w:p>
    <w:p w:rsidR="00966F8A" w:rsidRPr="00335BE4" w:rsidRDefault="00423B96" w:rsidP="00335BE4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Stan zatrudnienia w MJWPU na dzień 15 października 2019 r. wynosi 523 osoby.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Miejsce wykonywania usług:</w:t>
      </w:r>
    </w:p>
    <w:p w:rsidR="00423B96" w:rsidRPr="00423B96" w:rsidRDefault="00423B96" w:rsidP="00423B96">
      <w:pPr>
        <w:suppressAutoHyphens w:val="0"/>
        <w:spacing w:after="120" w:line="360" w:lineRule="auto"/>
        <w:ind w:left="284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423B96">
        <w:rPr>
          <w:rFonts w:cs="Times New Roman"/>
          <w:color w:val="000000" w:themeColor="text1"/>
          <w:sz w:val="20"/>
          <w:szCs w:val="20"/>
          <w:u w:val="single"/>
          <w:lang w:eastAsia="en-US"/>
        </w:rPr>
        <w:t>Wszystkie wyszczególnione badania muszą być wykonywane w jednej placówce Wykonawcy na terenie Warszawy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. Odległość placówki medycznej od siedziby Zamawiającego nie może przekraczać 10 km. Wykonawca w Formularzu oferty zobowiązany jest do podania miejsca wykonywania badań oraz odległości placówki medycznej od siedziby Zamawiającego, tj. Warszawa, ul. Jagiellońska 74. </w:t>
      </w:r>
    </w:p>
    <w:p w:rsidR="00966F8A" w:rsidRPr="00423B96" w:rsidRDefault="00423B96" w:rsidP="00335BE4">
      <w:pPr>
        <w:suppressAutoHyphens w:val="0"/>
        <w:spacing w:after="120" w:line="360" w:lineRule="auto"/>
        <w:ind w:left="284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Wskazana odległość zawarta w pkt. 7 Formularza oferty, mierzona będzie za pomocą portali umożliwiających pomiar odległości, tj. </w:t>
      </w:r>
      <w:hyperlink r:id="rId8" w:history="1">
        <w:r w:rsidRPr="00423B96">
          <w:rPr>
            <w:rFonts w:cs="Times New Roman"/>
            <w:color w:val="0000FF"/>
            <w:sz w:val="20"/>
            <w:szCs w:val="20"/>
            <w:u w:val="single"/>
            <w:lang w:eastAsia="en-US"/>
          </w:rPr>
          <w:t>www.targeo.pl</w:t>
        </w:r>
      </w:hyperlink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 , </w:t>
      </w:r>
      <w:hyperlink r:id="rId9" w:history="1">
        <w:r w:rsidRPr="00423B96">
          <w:rPr>
            <w:rFonts w:cs="Times New Roman"/>
            <w:color w:val="0000FF"/>
            <w:sz w:val="20"/>
            <w:szCs w:val="20"/>
            <w:u w:val="single"/>
            <w:lang w:eastAsia="en-US"/>
          </w:rPr>
          <w:t>www.maps.google.pl</w:t>
        </w:r>
      </w:hyperlink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 lub innego wskazanego przez Wykonawcę, zgodnie z wynikiem najkorzystniejszego pomiaru dokonanego przez Zamawiającego. Zamawiający nie 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lastRenderedPageBreak/>
        <w:t>dopuszcza pomiaru w linii prostej oraz „</w:t>
      </w:r>
      <w:r w:rsidRPr="00423B96">
        <w:rPr>
          <w:rFonts w:cs="Times New Roman"/>
          <w:i/>
          <w:iCs/>
          <w:color w:val="000000" w:themeColor="text1"/>
          <w:sz w:val="20"/>
          <w:szCs w:val="20"/>
          <w:lang w:eastAsia="en-US"/>
        </w:rPr>
        <w:t>w promieniu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>”, jak również pomiarów z wykorzystaniem tras pieszych, rowerowych, a także dróg prywatnych oraz o ograniczonym dostępie. Odległość placówki medycznej od siedziby Zamawiającego nie może przekraczać 10 km.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Termin wykonania zamówienia:</w:t>
      </w:r>
    </w:p>
    <w:p w:rsidR="00966F8A" w:rsidRPr="00423B96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Czas określony – rok w okresie od 1 stycznia 2020 r. do 31 grudnia 2020 r. lub do czasu wyczerpania maksymalnej kwoty wartości zawartej umowy. 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Opis sposobu przygotowania oferty:</w:t>
      </w:r>
    </w:p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Ofertę należy złożyć na formularzu ofertowym sporządzonym według wzoru określonego w Załączniku nr 1 do zapytania ofertowego. </w:t>
      </w:r>
    </w:p>
    <w:p w:rsidR="00966F8A" w:rsidRPr="00423B96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Wraz z ofertą należy </w:t>
      </w:r>
      <w:r w:rsidR="0090274F">
        <w:rPr>
          <w:rFonts w:cs="Times New Roman"/>
          <w:color w:val="000000" w:themeColor="text1"/>
          <w:sz w:val="20"/>
          <w:lang w:eastAsia="en-US"/>
        </w:rPr>
        <w:t>podać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aktualny</w:t>
      </w:r>
      <w:r w:rsidR="0090274F">
        <w:rPr>
          <w:rFonts w:cs="Times New Roman"/>
          <w:color w:val="000000" w:themeColor="text1"/>
          <w:sz w:val="20"/>
          <w:lang w:eastAsia="en-US"/>
        </w:rPr>
        <w:t xml:space="preserve"> numer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wpis</w:t>
      </w:r>
      <w:r w:rsidR="0090274F">
        <w:rPr>
          <w:rFonts w:cs="Times New Roman"/>
          <w:color w:val="000000" w:themeColor="text1"/>
          <w:sz w:val="20"/>
          <w:lang w:eastAsia="en-US"/>
        </w:rPr>
        <w:t>u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do rejestru ZOZ oraz cennik pozostałych badań wykonywanych przez Wykonawcę.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Opis sposobu obliczania ceny oferty:</w:t>
      </w:r>
    </w:p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Wykonawca  zobowiązany jest podać ceny jednostkowe badań oraz cenę łączną wszystkich badań z zakresu medycyny pracy w formularzu ofertowym sporządzonym według wzoru określonego w Załączniku Nr 1 do niniejszego zapytania ofertowego. </w:t>
      </w:r>
    </w:p>
    <w:p w:rsidR="00966F8A" w:rsidRPr="00423B96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Ceny muszą być podane w walucie PLN z dokładnością do dwóch miejsc po przecinku.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Kryterium wyboru najkorzystniejszej oferty:</w:t>
      </w:r>
    </w:p>
    <w:p w:rsid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Wybór najkorzystniejszej oferty odbędzie się w oparciu o przeprowadzone zapytania ofertowe, a za najkorzystniejszą ofertę zostanie uznana oferta Wykonawcy, który uzyska najwyższą łączną ocenę obliczoną wg następujących kryteriów:</w:t>
      </w:r>
    </w:p>
    <w:p w:rsidR="00966F8A" w:rsidRPr="00423B96" w:rsidRDefault="00966F8A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tbl>
      <w:tblPr>
        <w:tblStyle w:val="Tabela-Siatka"/>
        <w:tblW w:w="7229" w:type="dxa"/>
        <w:tblInd w:w="817" w:type="dxa"/>
        <w:tblLook w:val="04A0" w:firstRow="1" w:lastRow="0" w:firstColumn="1" w:lastColumn="0" w:noHBand="0" w:noVBand="1"/>
      </w:tblPr>
      <w:tblGrid>
        <w:gridCol w:w="5812"/>
        <w:gridCol w:w="1417"/>
      </w:tblGrid>
      <w:tr w:rsidR="00423B96" w:rsidRPr="00423B96" w:rsidTr="00F82273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Waga %</w:t>
            </w:r>
          </w:p>
        </w:tc>
      </w:tr>
      <w:tr w:rsidR="00423B96" w:rsidRPr="00423B96" w:rsidTr="00F82273">
        <w:trPr>
          <w:trHeight w:val="567"/>
        </w:trPr>
        <w:tc>
          <w:tcPr>
            <w:tcW w:w="5812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u w:val="single"/>
                <w:lang w:eastAsia="en-US"/>
              </w:rPr>
              <w:t>Łączne koszty wybranych badań: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Lekarz medycyny pracy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Okulista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Neurolog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Psycholog (badanie psychotechniczne dla kierowców)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Morfologia, OB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Cholesterol całkowity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EKG z opisem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Glukoza</w:t>
            </w:r>
          </w:p>
        </w:tc>
        <w:tc>
          <w:tcPr>
            <w:tcW w:w="1417" w:type="dxa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60</w:t>
            </w:r>
          </w:p>
        </w:tc>
      </w:tr>
      <w:tr w:rsidR="00423B96" w:rsidRPr="00423B96" w:rsidTr="00F82273">
        <w:trPr>
          <w:trHeight w:val="510"/>
        </w:trPr>
        <w:tc>
          <w:tcPr>
            <w:tcW w:w="5812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lekarza medyny pracy</w:t>
            </w:r>
          </w:p>
        </w:tc>
        <w:tc>
          <w:tcPr>
            <w:tcW w:w="1417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  <w:tr w:rsidR="00423B96" w:rsidRPr="00423B96" w:rsidTr="00F82273">
        <w:trPr>
          <w:trHeight w:val="510"/>
        </w:trPr>
        <w:tc>
          <w:tcPr>
            <w:tcW w:w="5812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okulisty</w:t>
            </w:r>
          </w:p>
        </w:tc>
        <w:tc>
          <w:tcPr>
            <w:tcW w:w="1417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  <w:tr w:rsidR="00423B96" w:rsidRPr="00423B96" w:rsidTr="00F82273">
        <w:trPr>
          <w:trHeight w:val="510"/>
        </w:trPr>
        <w:tc>
          <w:tcPr>
            <w:tcW w:w="5812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psychologa (badanie psychotechniczne dla kierowców)</w:t>
            </w:r>
          </w:p>
        </w:tc>
        <w:tc>
          <w:tcPr>
            <w:tcW w:w="1417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  <w:tr w:rsidR="00423B96" w:rsidRPr="00423B96" w:rsidTr="00F82273">
        <w:trPr>
          <w:trHeight w:val="510"/>
        </w:trPr>
        <w:tc>
          <w:tcPr>
            <w:tcW w:w="5812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neurologa</w:t>
            </w:r>
          </w:p>
        </w:tc>
        <w:tc>
          <w:tcPr>
            <w:tcW w:w="1417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</w:tbl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p w:rsidR="00423B96" w:rsidRPr="00423B96" w:rsidRDefault="00423B96" w:rsidP="00423B96">
      <w:pPr>
        <w:numPr>
          <w:ilvl w:val="0"/>
          <w:numId w:val="33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Łączne koszty badań w ramach przedmiotu zamówienia – 60 %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Ocena ofert zostanie dokonana według następującego wzoru:</w:t>
      </w:r>
    </w:p>
    <w:p w:rsidR="00423B96" w:rsidRPr="00423B96" w:rsidRDefault="00423B96" w:rsidP="00423B96">
      <w:pPr>
        <w:suppressAutoHyphens w:val="0"/>
        <w:spacing w:after="0" w:line="240" w:lineRule="auto"/>
        <w:ind w:left="646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                                   </w:t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 xml:space="preserve">Najniższe łączne koszty badań (z ww.) </w:t>
      </w:r>
    </w:p>
    <w:p w:rsidR="00423B96" w:rsidRPr="00423B96" w:rsidRDefault="00423B96" w:rsidP="00423B96">
      <w:pPr>
        <w:suppressAutoHyphens w:val="0"/>
        <w:spacing w:after="0" w:line="240" w:lineRule="auto"/>
        <w:ind w:left="3478" w:firstLine="62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>ze wszystkich ofert niepodlegających odrzuceniu</w:t>
      </w:r>
    </w:p>
    <w:p w:rsidR="00423B96" w:rsidRPr="00423B96" w:rsidRDefault="00423B96" w:rsidP="00423B96">
      <w:pPr>
        <w:suppressAutoHyphens w:val="0"/>
        <w:spacing w:after="120" w:line="240" w:lineRule="auto"/>
        <w:ind w:left="646"/>
        <w:jc w:val="both"/>
        <w:rPr>
          <w:rFonts w:cs="Times New Roman"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color w:val="000000" w:themeColor="text1"/>
          <w:sz w:val="16"/>
          <w:szCs w:val="16"/>
          <w:lang w:eastAsia="en-US"/>
        </w:rPr>
        <w:t xml:space="preserve">Kryterium „Łączne koszty badań (z ww.)” = ………….…………………………………………………………. </w:t>
      </w: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>x Waga (tj. 60)</w:t>
      </w:r>
    </w:p>
    <w:p w:rsidR="00423B96" w:rsidRPr="00423B96" w:rsidRDefault="00423B96" w:rsidP="00423B96">
      <w:pPr>
        <w:suppressAutoHyphens w:val="0"/>
        <w:spacing w:after="0" w:line="240" w:lineRule="auto"/>
        <w:ind w:left="284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 xml:space="preserve">Łączne koszty badań z oferty badanej, </w:t>
      </w:r>
    </w:p>
    <w:p w:rsidR="00423B96" w:rsidRPr="00423B96" w:rsidRDefault="00423B96" w:rsidP="00423B96">
      <w:pPr>
        <w:suppressAutoHyphens w:val="0"/>
        <w:spacing w:after="120" w:line="312" w:lineRule="auto"/>
        <w:ind w:left="3116" w:firstLine="424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>niepodlegającej odrzuceniu</w:t>
      </w:r>
    </w:p>
    <w:p w:rsidR="00423B96" w:rsidRPr="00423B96" w:rsidRDefault="00423B96" w:rsidP="00423B96">
      <w:pPr>
        <w:numPr>
          <w:ilvl w:val="0"/>
          <w:numId w:val="33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Dostępność wybranych usług świadczonych przez Wykonawcę – 40 %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Minimalna wymagana dostępność lekarzy specjalistów:</w:t>
      </w:r>
    </w:p>
    <w:p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medycyny pracy</w:t>
      </w:r>
      <w:r w:rsidR="0090274F">
        <w:rPr>
          <w:rFonts w:cs="Times New Roman"/>
          <w:color w:val="000000" w:themeColor="text1"/>
          <w:sz w:val="20"/>
          <w:lang w:eastAsia="en-US"/>
        </w:rPr>
        <w:t>: 3</w:t>
      </w:r>
      <w:bookmarkStart w:id="0" w:name="_GoBack"/>
      <w:bookmarkEnd w:id="0"/>
      <w:r w:rsidRPr="00423B96">
        <w:rPr>
          <w:rFonts w:cs="Times New Roman"/>
          <w:color w:val="000000" w:themeColor="text1"/>
          <w:sz w:val="20"/>
          <w:lang w:eastAsia="en-US"/>
        </w:rPr>
        <w:t>0 godzin/tydzień</w:t>
      </w:r>
    </w:p>
    <w:p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okulista</w:t>
      </w:r>
      <w:r w:rsidRPr="00423B96">
        <w:rPr>
          <w:rFonts w:cs="Times New Roman"/>
          <w:color w:val="000000" w:themeColor="text1"/>
          <w:sz w:val="20"/>
          <w:lang w:eastAsia="en-US"/>
        </w:rPr>
        <w:t>: 30 godzin/tydzień</w:t>
      </w:r>
    </w:p>
    <w:p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psycholog</w:t>
      </w:r>
      <w:r w:rsidRPr="00423B96">
        <w:rPr>
          <w:rFonts w:cs="Times New Roman"/>
          <w:color w:val="000000" w:themeColor="text1"/>
          <w:sz w:val="20"/>
          <w:lang w:eastAsia="en-US"/>
        </w:rPr>
        <w:t>: 30 godzin/tydzień</w:t>
      </w:r>
    </w:p>
    <w:p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neurolog</w:t>
      </w:r>
      <w:r w:rsidRPr="00423B96">
        <w:rPr>
          <w:rFonts w:cs="Times New Roman"/>
          <w:color w:val="000000" w:themeColor="text1"/>
          <w:sz w:val="20"/>
          <w:lang w:eastAsia="en-US"/>
        </w:rPr>
        <w:t>: 30 godzin/tydzień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b/>
          <w:color w:val="000000" w:themeColor="text1"/>
          <w:sz w:val="20"/>
          <w:lang w:eastAsia="en-US"/>
        </w:rPr>
      </w:pPr>
    </w:p>
    <w:p w:rsidR="00423B96" w:rsidRPr="00423B96" w:rsidRDefault="00423B96" w:rsidP="00423B96">
      <w:pPr>
        <w:numPr>
          <w:ilvl w:val="0"/>
          <w:numId w:val="33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Sposób przyznawania punktów dla każdego specjalisty - suma godzin w tygodniu: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Punktacja:</w:t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  <w:t xml:space="preserve">30h-35h </w:t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  <w:t>- 0 pkt.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  <w:t xml:space="preserve">Powyżej 35h-40h </w:t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  <w:t>- 5 pkt.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</w:r>
      <w:r w:rsidRPr="00423B96">
        <w:rPr>
          <w:b/>
          <w:color w:val="000000" w:themeColor="text1"/>
          <w:sz w:val="20"/>
          <w:lang w:eastAsia="en-US"/>
        </w:rPr>
        <w:t>Powyżej 40h-45h</w:t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  <w:t xml:space="preserve">  </w:t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  <w:t>- 7 pkt.</w:t>
      </w:r>
    </w:p>
    <w:p w:rsidR="00423B96" w:rsidRPr="00423B96" w:rsidRDefault="00423B96" w:rsidP="00423B96">
      <w:pPr>
        <w:tabs>
          <w:tab w:val="left" w:pos="2250"/>
        </w:tabs>
        <w:suppressAutoHyphens w:val="0"/>
        <w:spacing w:after="120" w:line="312" w:lineRule="auto"/>
        <w:ind w:left="644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 xml:space="preserve">                                 Powyżej 45h</w:t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ab/>
        <w:t>- 10 pkt.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Informacje dodatkowe:</w:t>
      </w:r>
    </w:p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- Zamawiający nie dopuszcza możliwości składania ofert częściowych.</w:t>
      </w:r>
    </w:p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- W celu zapewnienia porównywalności wszystkich ofert, Zamawiający zastrzega sobie prawo do skontaktowania się z właściwymi Wykonawcami, w celu uzupełnienia lub doprecyzowania ofert.</w:t>
      </w:r>
    </w:p>
    <w:p w:rsidR="00D45647" w:rsidRPr="009B24B5" w:rsidRDefault="00D45647" w:rsidP="00776E12">
      <w:pPr>
        <w:pStyle w:val="TekstPodstawowy"/>
        <w:ind w:left="644" w:firstLine="0"/>
        <w:rPr>
          <w:rFonts w:asciiTheme="minorHAnsi" w:hAnsiTheme="minorHAnsi" w:cstheme="minorHAnsi"/>
        </w:rPr>
      </w:pPr>
    </w:p>
    <w:p w:rsidR="00746DFB" w:rsidRPr="009B24B5" w:rsidRDefault="00746DFB" w:rsidP="00CF2B09">
      <w:pPr>
        <w:rPr>
          <w:rFonts w:asciiTheme="minorHAnsi" w:hAnsiTheme="minorHAnsi" w:cstheme="minorHAnsi"/>
          <w:i/>
        </w:rPr>
      </w:pPr>
    </w:p>
    <w:sectPr w:rsidR="00746DFB" w:rsidRPr="009B24B5" w:rsidSect="0088739E">
      <w:headerReference w:type="default" r:id="rId10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A2" w:rsidRDefault="005228A2" w:rsidP="00243214">
      <w:pPr>
        <w:spacing w:after="0" w:line="240" w:lineRule="auto"/>
      </w:pPr>
      <w:r>
        <w:separator/>
      </w:r>
    </w:p>
  </w:endnote>
  <w:endnote w:type="continuationSeparator" w:id="0">
    <w:p w:rsidR="005228A2" w:rsidRDefault="005228A2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A2" w:rsidRDefault="005228A2" w:rsidP="00243214">
      <w:pPr>
        <w:spacing w:after="0" w:line="240" w:lineRule="auto"/>
      </w:pPr>
      <w:r>
        <w:separator/>
      </w:r>
    </w:p>
  </w:footnote>
  <w:footnote w:type="continuationSeparator" w:id="0">
    <w:p w:rsidR="005228A2" w:rsidRDefault="005228A2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8" w:rsidRDefault="009E1578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  <w:p w:rsidR="00B77F0E" w:rsidRDefault="00B77F0E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A75"/>
    <w:multiLevelType w:val="hybridMultilevel"/>
    <w:tmpl w:val="2C6C8756"/>
    <w:lvl w:ilvl="0" w:tplc="0512C0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136C5"/>
    <w:multiLevelType w:val="hybridMultilevel"/>
    <w:tmpl w:val="354876FE"/>
    <w:lvl w:ilvl="0" w:tplc="77D480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4204F"/>
    <w:multiLevelType w:val="hybridMultilevel"/>
    <w:tmpl w:val="676868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14"/>
  </w:num>
  <w:num w:numId="5">
    <w:abstractNumId w:val="13"/>
  </w:num>
  <w:num w:numId="6">
    <w:abstractNumId w:val="22"/>
  </w:num>
  <w:num w:numId="7">
    <w:abstractNumId w:val="19"/>
  </w:num>
  <w:num w:numId="8">
    <w:abstractNumId w:val="29"/>
  </w:num>
  <w:num w:numId="9">
    <w:abstractNumId w:val="30"/>
  </w:num>
  <w:num w:numId="10">
    <w:abstractNumId w:val="24"/>
  </w:num>
  <w:num w:numId="11">
    <w:abstractNumId w:val="18"/>
  </w:num>
  <w:num w:numId="12">
    <w:abstractNumId w:val="25"/>
  </w:num>
  <w:num w:numId="13">
    <w:abstractNumId w:val="26"/>
  </w:num>
  <w:num w:numId="14">
    <w:abstractNumId w:val="21"/>
  </w:num>
  <w:num w:numId="15">
    <w:abstractNumId w:val="15"/>
  </w:num>
  <w:num w:numId="16">
    <w:abstractNumId w:val="0"/>
  </w:num>
  <w:num w:numId="17">
    <w:abstractNumId w:val="12"/>
  </w:num>
  <w:num w:numId="18">
    <w:abstractNumId w:val="23"/>
  </w:num>
  <w:num w:numId="19">
    <w:abstractNumId w:val="1"/>
  </w:num>
  <w:num w:numId="20">
    <w:abstractNumId w:val="27"/>
  </w:num>
  <w:num w:numId="21">
    <w:abstractNumId w:val="9"/>
  </w:num>
  <w:num w:numId="22">
    <w:abstractNumId w:val="6"/>
  </w:num>
  <w:num w:numId="23">
    <w:abstractNumId w:val="33"/>
  </w:num>
  <w:num w:numId="24">
    <w:abstractNumId w:val="34"/>
  </w:num>
  <w:num w:numId="25">
    <w:abstractNumId w:val="2"/>
  </w:num>
  <w:num w:numId="26">
    <w:abstractNumId w:val="17"/>
  </w:num>
  <w:num w:numId="27">
    <w:abstractNumId w:val="16"/>
  </w:num>
  <w:num w:numId="28">
    <w:abstractNumId w:val="10"/>
  </w:num>
  <w:num w:numId="29">
    <w:abstractNumId w:val="4"/>
  </w:num>
  <w:num w:numId="30">
    <w:abstractNumId w:val="11"/>
  </w:num>
  <w:num w:numId="31">
    <w:abstractNumId w:val="3"/>
  </w:num>
  <w:num w:numId="32">
    <w:abstractNumId w:val="5"/>
  </w:num>
  <w:num w:numId="33">
    <w:abstractNumId w:val="20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2669B"/>
    <w:rsid w:val="00040EC7"/>
    <w:rsid w:val="00046190"/>
    <w:rsid w:val="000618C5"/>
    <w:rsid w:val="00062F8E"/>
    <w:rsid w:val="00064C1F"/>
    <w:rsid w:val="0007467E"/>
    <w:rsid w:val="00076839"/>
    <w:rsid w:val="00076F42"/>
    <w:rsid w:val="00077BAD"/>
    <w:rsid w:val="00085602"/>
    <w:rsid w:val="0008575A"/>
    <w:rsid w:val="000857C0"/>
    <w:rsid w:val="0008709D"/>
    <w:rsid w:val="00090031"/>
    <w:rsid w:val="000A3177"/>
    <w:rsid w:val="000A7E07"/>
    <w:rsid w:val="000B5396"/>
    <w:rsid w:val="000C00B7"/>
    <w:rsid w:val="000C31BA"/>
    <w:rsid w:val="000D3CED"/>
    <w:rsid w:val="000D47AC"/>
    <w:rsid w:val="000D4D08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6456D"/>
    <w:rsid w:val="00170E36"/>
    <w:rsid w:val="0017363D"/>
    <w:rsid w:val="00185CBA"/>
    <w:rsid w:val="00187E2D"/>
    <w:rsid w:val="001D4572"/>
    <w:rsid w:val="001E0D50"/>
    <w:rsid w:val="001E5A1F"/>
    <w:rsid w:val="001E689E"/>
    <w:rsid w:val="001F5B26"/>
    <w:rsid w:val="001F7A6B"/>
    <w:rsid w:val="00206BA8"/>
    <w:rsid w:val="00211E90"/>
    <w:rsid w:val="00214DB9"/>
    <w:rsid w:val="00217636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CB2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31A37"/>
    <w:rsid w:val="00335BE4"/>
    <w:rsid w:val="0036210D"/>
    <w:rsid w:val="00377F85"/>
    <w:rsid w:val="00384AFE"/>
    <w:rsid w:val="003967C1"/>
    <w:rsid w:val="00397D9C"/>
    <w:rsid w:val="003C2599"/>
    <w:rsid w:val="003C3726"/>
    <w:rsid w:val="003C6D77"/>
    <w:rsid w:val="003D1500"/>
    <w:rsid w:val="003D3DE6"/>
    <w:rsid w:val="003E15D6"/>
    <w:rsid w:val="003E2104"/>
    <w:rsid w:val="003E3750"/>
    <w:rsid w:val="003E7B62"/>
    <w:rsid w:val="003F7B41"/>
    <w:rsid w:val="00407287"/>
    <w:rsid w:val="0041056A"/>
    <w:rsid w:val="00410899"/>
    <w:rsid w:val="00417AED"/>
    <w:rsid w:val="00423A6D"/>
    <w:rsid w:val="00423B96"/>
    <w:rsid w:val="00424224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8A2"/>
    <w:rsid w:val="00534D29"/>
    <w:rsid w:val="0054350F"/>
    <w:rsid w:val="00547612"/>
    <w:rsid w:val="005541CC"/>
    <w:rsid w:val="0055775C"/>
    <w:rsid w:val="00566EC6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52C16"/>
    <w:rsid w:val="00663645"/>
    <w:rsid w:val="0066401C"/>
    <w:rsid w:val="00673553"/>
    <w:rsid w:val="006777EB"/>
    <w:rsid w:val="00692EEE"/>
    <w:rsid w:val="006A1902"/>
    <w:rsid w:val="006A5C0B"/>
    <w:rsid w:val="006B183E"/>
    <w:rsid w:val="006B6B4C"/>
    <w:rsid w:val="006D5215"/>
    <w:rsid w:val="006F3845"/>
    <w:rsid w:val="006F5E46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76E12"/>
    <w:rsid w:val="007A034D"/>
    <w:rsid w:val="007A3D32"/>
    <w:rsid w:val="007A6AF2"/>
    <w:rsid w:val="007C502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8739E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274F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6F8A"/>
    <w:rsid w:val="00967249"/>
    <w:rsid w:val="00970A55"/>
    <w:rsid w:val="0097124B"/>
    <w:rsid w:val="00975C60"/>
    <w:rsid w:val="0098058C"/>
    <w:rsid w:val="00985729"/>
    <w:rsid w:val="0099028E"/>
    <w:rsid w:val="009A4369"/>
    <w:rsid w:val="009A585B"/>
    <w:rsid w:val="009B24B5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F1CEA"/>
    <w:rsid w:val="00B067A7"/>
    <w:rsid w:val="00B119A3"/>
    <w:rsid w:val="00B1430B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7F0E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7C09"/>
    <w:rsid w:val="00C43FBD"/>
    <w:rsid w:val="00C468D0"/>
    <w:rsid w:val="00C55929"/>
    <w:rsid w:val="00C56BDF"/>
    <w:rsid w:val="00C6040B"/>
    <w:rsid w:val="00C6141D"/>
    <w:rsid w:val="00C64E71"/>
    <w:rsid w:val="00C67D71"/>
    <w:rsid w:val="00C71847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2B09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4E97"/>
    <w:rsid w:val="00D81226"/>
    <w:rsid w:val="00D85968"/>
    <w:rsid w:val="00D911EB"/>
    <w:rsid w:val="00D95BFC"/>
    <w:rsid w:val="00DD3590"/>
    <w:rsid w:val="00DD4794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36091A"/>
  <w15:docId w15:val="{227C86A0-2FF4-46AE-AFF2-644AF26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qFormat/>
    <w:rsid w:val="0099028E"/>
    <w:pPr>
      <w:suppressAutoHyphens w:val="0"/>
      <w:spacing w:after="120" w:line="312" w:lineRule="auto"/>
      <w:ind w:firstLine="284"/>
      <w:jc w:val="both"/>
    </w:pPr>
    <w:rPr>
      <w:rFonts w:cs="Times New Roman"/>
      <w:color w:val="000000" w:themeColor="text1"/>
      <w:sz w:val="20"/>
      <w:lang w:val="en-US" w:eastAsia="en-US"/>
    </w:rPr>
  </w:style>
  <w:style w:type="table" w:styleId="Tabela-Siatka">
    <w:name w:val="Table Grid"/>
    <w:basedOn w:val="Standardowy"/>
    <w:uiPriority w:val="59"/>
    <w:rsid w:val="00423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Agata Otulak</cp:lastModifiedBy>
  <cp:revision>9</cp:revision>
  <cp:lastPrinted>2019-11-06T08:39:00Z</cp:lastPrinted>
  <dcterms:created xsi:type="dcterms:W3CDTF">2019-10-30T11:29:00Z</dcterms:created>
  <dcterms:modified xsi:type="dcterms:W3CDTF">2019-11-06T10:13:00Z</dcterms:modified>
</cp:coreProperties>
</file>