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FE8A84" w14:textId="6596F93F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14C538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26F7D9E" w14:textId="77777777" w:rsidR="00C743D9" w:rsidRDefault="00C743D9" w:rsidP="00C74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dla pracowników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255E022F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091A6672" w:rsidR="001F1124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8029A0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Perspektywa finansowa 2021-2027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5BF05A01" w14:textId="4687BBD1" w:rsidR="006406F5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0B0E0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603D15F8" w14:textId="77777777" w:rsidR="00B23491" w:rsidRDefault="00B23491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467D4E43" w14:textId="77777777" w:rsidR="00B23491" w:rsidRPr="003C0A2D" w:rsidRDefault="00B23491" w:rsidP="00B23491">
      <w:pPr>
        <w:pStyle w:val="Akapitzlist"/>
        <w:numPr>
          <w:ilvl w:val="0"/>
          <w:numId w:val="5"/>
        </w:numPr>
        <w:contextualSpacing/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 xml:space="preserve">Nowa perspektywa finansowa 2021-2027 a perspektywa 2014-2020 - różnice </w:t>
      </w:r>
    </w:p>
    <w:p w14:paraId="50303FF3" w14:textId="77777777" w:rsidR="00B23491" w:rsidRPr="003C0A2D" w:rsidRDefault="00B23491" w:rsidP="00B23491">
      <w:pPr>
        <w:numPr>
          <w:ilvl w:val="0"/>
          <w:numId w:val="5"/>
        </w:numPr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 xml:space="preserve">Europejski Fundusz Społeczny Plus (EFS+), Cel Polityki 4 </w:t>
      </w:r>
    </w:p>
    <w:p w14:paraId="66121E6C" w14:textId="77777777" w:rsidR="00B23491" w:rsidRPr="003C0A2D" w:rsidRDefault="00B23491" w:rsidP="00B23491">
      <w:pPr>
        <w:numPr>
          <w:ilvl w:val="0"/>
          <w:numId w:val="5"/>
        </w:numPr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>Akty prawne na lata 2021-2027:</w:t>
      </w:r>
    </w:p>
    <w:p w14:paraId="60260A92" w14:textId="77777777" w:rsidR="00B23491" w:rsidRPr="003C0A2D" w:rsidRDefault="00B23491" w:rsidP="00B23491">
      <w:pPr>
        <w:ind w:left="360" w:firstLine="633"/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>a) rozporządzenia dla Polityki Spójności na lata 2021-2027:</w:t>
      </w:r>
    </w:p>
    <w:p w14:paraId="2E706E1D" w14:textId="77777777" w:rsidR="00B23491" w:rsidRPr="003C0A2D" w:rsidRDefault="00B23491" w:rsidP="00B2349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3C0A2D">
        <w:rPr>
          <w:rFonts w:eastAsia="Times New Roman" w:cstheme="minorHAnsi"/>
          <w:bCs/>
        </w:rPr>
        <w:t>Rozporządzenie w sprawie wspólnych przepisów dotyczącego funduszy objętych zarządzaniem dzielonym;</w:t>
      </w:r>
    </w:p>
    <w:p w14:paraId="2A3D17AB" w14:textId="77777777" w:rsidR="00B23491" w:rsidRPr="003C0A2D" w:rsidRDefault="00B23491" w:rsidP="00B2349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3C0A2D">
        <w:rPr>
          <w:rFonts w:eastAsia="Times New Roman" w:cstheme="minorHAnsi"/>
          <w:bCs/>
        </w:rPr>
        <w:t>Rozporządzenie w sprawie Europejskiego Funduszu Rozwoju Regionalnego i Funduszu Spójności (EFRR/FS);</w:t>
      </w:r>
    </w:p>
    <w:p w14:paraId="04C1B964" w14:textId="77777777" w:rsidR="00B23491" w:rsidRPr="003C0A2D" w:rsidRDefault="00B23491" w:rsidP="00B2349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3C0A2D">
        <w:rPr>
          <w:rFonts w:eastAsia="Times New Roman" w:cstheme="minorHAnsi"/>
          <w:bCs/>
        </w:rPr>
        <w:t>Rozporządzenie w sprawie Europejskiego Funduszu Społecznego Plus (EFS+);</w:t>
      </w:r>
    </w:p>
    <w:p w14:paraId="16F1E2A2" w14:textId="77777777" w:rsidR="00B23491" w:rsidRPr="003C0A2D" w:rsidRDefault="00B23491" w:rsidP="00B2349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3C0A2D">
        <w:rPr>
          <w:rFonts w:eastAsia="Times New Roman" w:cstheme="minorHAnsi"/>
          <w:bCs/>
        </w:rPr>
        <w:t xml:space="preserve">Rozporządzenie w sprawie </w:t>
      </w:r>
      <w:proofErr w:type="spellStart"/>
      <w:r w:rsidRPr="003C0A2D">
        <w:rPr>
          <w:rFonts w:eastAsia="Times New Roman" w:cstheme="minorHAnsi"/>
          <w:bCs/>
        </w:rPr>
        <w:t>Interreg</w:t>
      </w:r>
      <w:proofErr w:type="spellEnd"/>
      <w:r w:rsidRPr="003C0A2D">
        <w:rPr>
          <w:rFonts w:eastAsia="Times New Roman" w:cstheme="minorHAnsi"/>
          <w:bCs/>
        </w:rPr>
        <w:t xml:space="preserve"> ustanawiającego przepisy szczegółowe dotyczące celu „Europejska współpraca terytorialna” wspieranego w ramach Europejskiego Funduszu Rozwoju Regionalnego oraz instrumentów finansowania zewnętrznego.</w:t>
      </w:r>
    </w:p>
    <w:p w14:paraId="58902842" w14:textId="77777777" w:rsidR="00B23491" w:rsidRPr="003C0A2D" w:rsidRDefault="00B23491" w:rsidP="00B23491">
      <w:pPr>
        <w:ind w:left="1276" w:hanging="283"/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>b) ustawa o zasadach realizacji programów w zakresie polityki spójności finansowanych w perspektywie 2021-2027 (ustawa wdrożeniowa)</w:t>
      </w:r>
    </w:p>
    <w:p w14:paraId="2D6549CA" w14:textId="77777777" w:rsidR="00B23491" w:rsidRPr="003C0A2D" w:rsidRDefault="00B23491" w:rsidP="00B23491">
      <w:pPr>
        <w:rPr>
          <w:rFonts w:eastAsia="Calibri" w:cstheme="minorHAnsi"/>
        </w:rPr>
      </w:pPr>
    </w:p>
    <w:p w14:paraId="21CC8DBF" w14:textId="77777777" w:rsidR="00B23491" w:rsidRPr="003C0A2D" w:rsidRDefault="00B23491" w:rsidP="00B23491">
      <w:pPr>
        <w:numPr>
          <w:ilvl w:val="0"/>
          <w:numId w:val="5"/>
        </w:numPr>
        <w:rPr>
          <w:rFonts w:eastAsia="Calibri" w:cstheme="minorHAnsi"/>
        </w:rPr>
      </w:pPr>
      <w:r w:rsidRPr="003C0A2D">
        <w:rPr>
          <w:rFonts w:eastAsia="Calibri" w:cstheme="minorHAnsi"/>
        </w:rPr>
        <w:t xml:space="preserve">Umowa Partnerstwa na lata 2021-2027 </w:t>
      </w:r>
    </w:p>
    <w:p w14:paraId="3F66972D" w14:textId="77777777" w:rsidR="00B23491" w:rsidRPr="003C0A2D" w:rsidRDefault="00B23491" w:rsidP="00B23491">
      <w:pPr>
        <w:numPr>
          <w:ilvl w:val="0"/>
          <w:numId w:val="5"/>
        </w:numPr>
        <w:rPr>
          <w:rFonts w:eastAsia="Calibri" w:cstheme="minorHAnsi"/>
        </w:rPr>
      </w:pPr>
      <w:r w:rsidRPr="003C0A2D">
        <w:rPr>
          <w:rFonts w:eastAsia="Calibri" w:cstheme="minorHAnsi"/>
        </w:rPr>
        <w:t>Krajowy Plan Odbudowy – ogólny zarys programu.</w:t>
      </w:r>
    </w:p>
    <w:p w14:paraId="5DC27B6D" w14:textId="77777777" w:rsidR="00B23491" w:rsidRPr="003C0A2D" w:rsidRDefault="00B23491" w:rsidP="00B23491">
      <w:pPr>
        <w:numPr>
          <w:ilvl w:val="0"/>
          <w:numId w:val="5"/>
        </w:numPr>
        <w:rPr>
          <w:rFonts w:eastAsia="Calibri" w:cstheme="minorHAnsi"/>
        </w:rPr>
      </w:pPr>
      <w:r w:rsidRPr="003C0A2D">
        <w:rPr>
          <w:rFonts w:eastAsia="Calibri" w:cstheme="minorHAnsi"/>
        </w:rPr>
        <w:t>Wymiar terytorialny wsparcia w latach 2021-2027:</w:t>
      </w:r>
    </w:p>
    <w:p w14:paraId="0905FBE3" w14:textId="77777777" w:rsidR="00B23491" w:rsidRPr="003C0A2D" w:rsidRDefault="00B23491" w:rsidP="00B23491">
      <w:pPr>
        <w:pStyle w:val="Akapitzlist"/>
        <w:numPr>
          <w:ilvl w:val="0"/>
          <w:numId w:val="8"/>
        </w:numPr>
        <w:contextualSpacing/>
        <w:rPr>
          <w:rFonts w:eastAsia="Calibri" w:cstheme="minorHAnsi"/>
        </w:rPr>
      </w:pPr>
      <w:r w:rsidRPr="003C0A2D">
        <w:rPr>
          <w:rFonts w:eastAsia="Calibri" w:cstheme="minorHAnsi"/>
        </w:rPr>
        <w:t>Zintegrowane Inwestycje Terytorialne (ZIT)</w:t>
      </w:r>
    </w:p>
    <w:p w14:paraId="459CED89" w14:textId="77777777" w:rsidR="00B23491" w:rsidRPr="003C0A2D" w:rsidRDefault="00B23491" w:rsidP="00B23491">
      <w:pPr>
        <w:pStyle w:val="Akapitzlist"/>
        <w:numPr>
          <w:ilvl w:val="0"/>
          <w:numId w:val="8"/>
        </w:numPr>
        <w:contextualSpacing/>
        <w:rPr>
          <w:rFonts w:eastAsia="Calibri" w:cstheme="minorHAnsi"/>
        </w:rPr>
      </w:pPr>
      <w:r w:rsidRPr="003C0A2D">
        <w:rPr>
          <w:rFonts w:eastAsia="Calibri" w:cstheme="minorHAnsi"/>
        </w:rPr>
        <w:t>Rozwój Lokalny Kierowany przez Społeczność RLKS</w:t>
      </w:r>
    </w:p>
    <w:p w14:paraId="305171D8" w14:textId="77777777" w:rsidR="00B23491" w:rsidRPr="003C0A2D" w:rsidRDefault="00B23491" w:rsidP="00B23491">
      <w:pPr>
        <w:numPr>
          <w:ilvl w:val="0"/>
          <w:numId w:val="5"/>
        </w:numPr>
        <w:rPr>
          <w:rFonts w:eastAsia="Calibri" w:cstheme="minorHAnsi"/>
        </w:rPr>
      </w:pPr>
      <w:r w:rsidRPr="003C0A2D">
        <w:rPr>
          <w:rFonts w:eastAsia="Calibri" w:cstheme="minorHAnsi"/>
        </w:rPr>
        <w:t>Linia demarkacyjna - Podział interwencji i  zasad wdrażania krajowych i regionalnych programów operacyjnych w perspektywie finansowej na lata 2021-2027</w:t>
      </w:r>
    </w:p>
    <w:p w14:paraId="3F89337A" w14:textId="77777777" w:rsidR="00B23491" w:rsidRPr="003C0A2D" w:rsidRDefault="00B23491" w:rsidP="00B23491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Zasady finansowania projektów EFS:</w:t>
      </w:r>
    </w:p>
    <w:p w14:paraId="0D889827" w14:textId="77777777" w:rsidR="00B23491" w:rsidRPr="003C0A2D" w:rsidRDefault="00B23491" w:rsidP="00B23491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Sposoby finansowania projektów: dotacje (refundacja kosztów kwalifikowalnych, stawki jednostkowe, kwoty ryczałtowe, stawki ryczałtowe) a instrumenty zwrotne</w:t>
      </w:r>
    </w:p>
    <w:p w14:paraId="4C41D8EC" w14:textId="77777777" w:rsidR="00B23491" w:rsidRPr="003C0A2D" w:rsidRDefault="00B23491" w:rsidP="00B23491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Montaż finansowy - poziom dofinansowania i wkład własny</w:t>
      </w:r>
    </w:p>
    <w:p w14:paraId="152BBDE3" w14:textId="77777777" w:rsidR="00B23491" w:rsidRPr="003C0A2D" w:rsidRDefault="00B23491" w:rsidP="00B23491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Zaliczki czy refundacja</w:t>
      </w:r>
    </w:p>
    <w:p w14:paraId="4A20735F" w14:textId="77777777" w:rsidR="00B23491" w:rsidRPr="003C0A2D" w:rsidRDefault="00B23491" w:rsidP="00B23491">
      <w:pPr>
        <w:numPr>
          <w:ilvl w:val="0"/>
          <w:numId w:val="5"/>
        </w:numPr>
        <w:spacing w:before="100" w:beforeAutospacing="1" w:after="120"/>
        <w:ind w:left="714" w:hanging="357"/>
        <w:rPr>
          <w:rFonts w:eastAsia="Times New Roman" w:cstheme="minorHAnsi"/>
        </w:rPr>
      </w:pPr>
      <w:r w:rsidRPr="003C0A2D">
        <w:rPr>
          <w:rFonts w:eastAsia="Times New Roman" w:cstheme="minorHAnsi"/>
        </w:rPr>
        <w:t>Rozliczanie projektów w perspektywie finansowej 2021-2027 w kontekście projektów EFS.</w:t>
      </w:r>
    </w:p>
    <w:p w14:paraId="59F6EF68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Zasady kwalifikowalności wydatków</w:t>
      </w:r>
    </w:p>
    <w:p w14:paraId="714B5832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Koszty niekwalifikowalne</w:t>
      </w:r>
    </w:p>
    <w:p w14:paraId="72837A2F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Wnioski o płatność</w:t>
      </w:r>
    </w:p>
    <w:p w14:paraId="38F35F60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Uproszczone formy rozliczania wydatków</w:t>
      </w:r>
    </w:p>
    <w:p w14:paraId="6B9EBAEB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Trwałość projektu</w:t>
      </w:r>
    </w:p>
    <w:p w14:paraId="4375A96E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Systemy informatyczne wspierające realizację projektów</w:t>
      </w:r>
    </w:p>
    <w:p w14:paraId="13F1B5B5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 xml:space="preserve">Monitoring i sprawozdawczość, </w:t>
      </w:r>
    </w:p>
    <w:p w14:paraId="3AD4A4F0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Wskaźniki</w:t>
      </w:r>
    </w:p>
    <w:p w14:paraId="0AC87045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Komunikacja (informacja, promocja, widoczność, przejrzystość)</w:t>
      </w:r>
    </w:p>
    <w:p w14:paraId="0A85B4FF" w14:textId="77777777" w:rsidR="00B23491" w:rsidRPr="000B0E0C" w:rsidRDefault="00B23491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0CC7399" w14:textId="77777777" w:rsidR="00C743D9" w:rsidRPr="00032F5A" w:rsidRDefault="00C743D9" w:rsidP="00C743D9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 w:rsidRPr="00032F5A">
        <w:rPr>
          <w:rFonts w:ascii="Calibri" w:hAnsi="Calibri" w:cs="Calibri"/>
          <w:b/>
          <w:color w:val="212121"/>
          <w:sz w:val="22"/>
          <w:szCs w:val="22"/>
        </w:rPr>
        <w:t> </w:t>
      </w:r>
      <w:r w:rsidRPr="00032F5A">
        <w:rPr>
          <w:rFonts w:asciiTheme="minorHAnsi" w:hAnsiTheme="minorHAnsi" w:cstheme="minorHAnsi"/>
          <w:b/>
          <w:color w:val="212121"/>
          <w:sz w:val="22"/>
          <w:szCs w:val="22"/>
        </w:rPr>
        <w:t> </w:t>
      </w:r>
      <w:r w:rsidRPr="00032F5A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W ramach usługi Wykonawca będzie zobowiązany do: </w:t>
      </w:r>
    </w:p>
    <w:p w14:paraId="62ECFC08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88D9A52" w14:textId="57499A9A" w:rsidR="006406F5" w:rsidRPr="006126FC" w:rsidRDefault="00C743D9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przygotowania</w:t>
      </w:r>
      <w:r w:rsidR="006406F5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i przeprowadzenie szkolenia przez eksperta (praktyka) spełniającego poniższe warunki:</w:t>
      </w:r>
    </w:p>
    <w:p w14:paraId="2B660658" w14:textId="77777777" w:rsidR="00EB50B2" w:rsidRPr="006126FC" w:rsidRDefault="00EB50B2" w:rsidP="009C0D7D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6126FC">
        <w:rPr>
          <w:rFonts w:asciiTheme="minorHAnsi" w:hAnsiTheme="minorHAnsi" w:cstheme="minorHAnsi"/>
        </w:rPr>
        <w:t>wykształcenie wyższe</w:t>
      </w:r>
    </w:p>
    <w:p w14:paraId="4C6E40BA" w14:textId="77777777" w:rsidR="000F35A7" w:rsidRDefault="00EF56F4" w:rsidP="000F35A7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1F497D"/>
        </w:rPr>
      </w:pPr>
      <w:r w:rsidRPr="006126FC">
        <w:rPr>
          <w:rFonts w:asciiTheme="minorHAnsi" w:hAnsiTheme="minorHAnsi" w:cstheme="minorHAnsi"/>
        </w:rPr>
        <w:t xml:space="preserve">minimum 3 -  letnie, udokumentowane doświadczenie w prowadzeniu szkoleń z </w:t>
      </w:r>
      <w:r>
        <w:rPr>
          <w:rFonts w:asciiTheme="minorHAnsi" w:hAnsiTheme="minorHAnsi" w:cstheme="minorHAnsi"/>
        </w:rPr>
        <w:t>funduszy unijnych</w:t>
      </w:r>
    </w:p>
    <w:p w14:paraId="659911F6" w14:textId="2C67803B" w:rsidR="000F35A7" w:rsidRPr="000F35A7" w:rsidRDefault="000F35A7" w:rsidP="000F35A7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1F497D"/>
        </w:rPr>
      </w:pPr>
      <w:r w:rsidRPr="000F35A7">
        <w:rPr>
          <w:rFonts w:asciiTheme="minorHAnsi" w:hAnsiTheme="minorHAnsi" w:cstheme="minorHAnsi"/>
          <w:color w:val="212121"/>
          <w:u w:val="single"/>
        </w:rPr>
        <w:t xml:space="preserve">Proszę o wypełnienie załączonej tabeli (doświadczenie osób i podmiotów). </w:t>
      </w:r>
    </w:p>
    <w:p w14:paraId="7497CA73" w14:textId="77777777" w:rsidR="009652F2" w:rsidRDefault="006406F5" w:rsidP="009652F2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6126FC">
        <w:rPr>
          <w:rFonts w:asciiTheme="minorHAnsi" w:hAnsiTheme="minorHAnsi" w:cstheme="minorHAnsi"/>
          <w:color w:val="212121"/>
        </w:rPr>
        <w:t>Zamawiający zastrzega możliwość spotkania</w:t>
      </w:r>
      <w:r w:rsidR="0047380F" w:rsidRPr="006126FC">
        <w:rPr>
          <w:rFonts w:asciiTheme="minorHAnsi" w:hAnsiTheme="minorHAnsi" w:cstheme="minorHAnsi"/>
          <w:color w:val="212121"/>
        </w:rPr>
        <w:t xml:space="preserve"> on-line</w:t>
      </w:r>
      <w:r w:rsidRPr="006126FC">
        <w:rPr>
          <w:rFonts w:asciiTheme="minorHAnsi" w:hAnsiTheme="minorHAnsi" w:cstheme="minorHAnsi"/>
          <w:color w:val="212121"/>
        </w:rPr>
        <w:t xml:space="preserve"> z trenerem</w:t>
      </w:r>
      <w:r w:rsidR="0047380F" w:rsidRPr="006126FC">
        <w:rPr>
          <w:rFonts w:asciiTheme="minorHAnsi" w:hAnsiTheme="minorHAnsi" w:cstheme="minorHAnsi"/>
          <w:color w:val="212121"/>
        </w:rPr>
        <w:t xml:space="preserve"> </w:t>
      </w:r>
      <w:r w:rsidRPr="006126FC">
        <w:rPr>
          <w:rFonts w:asciiTheme="minorHAnsi" w:hAnsiTheme="minorHAnsi" w:cstheme="minorHAnsi"/>
          <w:color w:val="212121"/>
        </w:rPr>
        <w:t>przed szkoleniem, w celu omówienia programu szkoleni</w:t>
      </w:r>
      <w:r w:rsidR="0047380F" w:rsidRPr="006126FC">
        <w:rPr>
          <w:rFonts w:asciiTheme="minorHAnsi" w:hAnsiTheme="minorHAnsi" w:cstheme="minorHAnsi"/>
          <w:color w:val="212121"/>
        </w:rPr>
        <w:t xml:space="preserve">a </w:t>
      </w:r>
    </w:p>
    <w:p w14:paraId="65B0E624" w14:textId="2AB34C9D" w:rsidR="006406F5" w:rsidRPr="009652F2" w:rsidRDefault="00EF56F4" w:rsidP="009C0D7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opracowania i przygotowania</w:t>
      </w:r>
      <w:r w:rsidR="006406F5" w:rsidRPr="009652F2">
        <w:rPr>
          <w:rFonts w:asciiTheme="minorHAnsi" w:hAnsiTheme="minorHAnsi" w:cstheme="minorHAnsi"/>
          <w:color w:val="212121"/>
        </w:rPr>
        <w:t xml:space="preserve"> materiału dydaktycznego dla wszystkich uczestników szkolenia.</w:t>
      </w:r>
      <w:r w:rsidR="004F616D" w:rsidRPr="009652F2">
        <w:rPr>
          <w:rFonts w:asciiTheme="minorHAnsi" w:hAnsiTheme="minorHAnsi" w:cstheme="minorHAnsi"/>
          <w:color w:val="212121"/>
        </w:rPr>
        <w:t xml:space="preserve"> </w:t>
      </w:r>
    </w:p>
    <w:p w14:paraId="4AA23B2C" w14:textId="77777777" w:rsidR="009C0D7D" w:rsidRPr="006126FC" w:rsidRDefault="009C0D7D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eastAsia="Times New Roman" w:hAnsiTheme="minorHAnsi" w:cstheme="minorHAnsi"/>
        </w:rPr>
        <w:t>przygotowania</w:t>
      </w:r>
      <w:r w:rsidRPr="00B3248A">
        <w:rPr>
          <w:rFonts w:asciiTheme="minorHAnsi" w:eastAsia="Times New Roman" w:hAnsiTheme="minorHAnsi" w:cstheme="minorHAnsi"/>
        </w:rPr>
        <w:t xml:space="preserve"> i</w:t>
      </w:r>
      <w:r>
        <w:rPr>
          <w:rFonts w:asciiTheme="minorHAnsi" w:eastAsia="Times New Roman" w:hAnsiTheme="minorHAnsi" w:cstheme="minorHAnsi"/>
        </w:rPr>
        <w:t xml:space="preserve"> wręczenia</w:t>
      </w:r>
      <w:r w:rsidRPr="00B3248A">
        <w:rPr>
          <w:rFonts w:asciiTheme="minorHAnsi" w:eastAsia="Times New Roman" w:hAnsiTheme="minorHAnsi" w:cstheme="minorHAnsi"/>
        </w:rPr>
        <w:t xml:space="preserve"> uczestnikom ankiet oce</w:t>
      </w:r>
      <w:r>
        <w:rPr>
          <w:rFonts w:asciiTheme="minorHAnsi" w:eastAsia="Times New Roman" w:hAnsiTheme="minorHAnsi" w:cstheme="minorHAnsi"/>
        </w:rPr>
        <w:t>niających szkolenie, przekazania</w:t>
      </w:r>
      <w:r w:rsidRPr="00B3248A">
        <w:rPr>
          <w:rFonts w:asciiTheme="minorHAnsi" w:eastAsia="Times New Roman" w:hAnsiTheme="minorHAnsi" w:cstheme="minorHAnsi"/>
        </w:rPr>
        <w:t xml:space="preserve"> oryginałów ankiet Zamawiającemu</w:t>
      </w:r>
    </w:p>
    <w:p w14:paraId="3304960B" w14:textId="2263323A" w:rsidR="006406F5" w:rsidRPr="006126FC" w:rsidRDefault="00EF56F4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przygotowania</w:t>
      </w:r>
      <w:r w:rsidR="00670D1A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212121"/>
          <w:sz w:val="22"/>
          <w:szCs w:val="22"/>
        </w:rPr>
        <w:t>wręczenia</w:t>
      </w:r>
      <w:r w:rsidR="009C0D7D">
        <w:rPr>
          <w:rFonts w:asciiTheme="minorHAnsi" w:hAnsiTheme="minorHAnsi" w:cstheme="minorHAnsi"/>
          <w:color w:val="212121"/>
          <w:sz w:val="22"/>
          <w:szCs w:val="22"/>
        </w:rPr>
        <w:t xml:space="preserve"> pracownikom </w:t>
      </w:r>
      <w:r w:rsidR="009C0D7D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 w:rsidR="009C0D7D">
        <w:rPr>
          <w:rFonts w:asciiTheme="minorHAnsi" w:hAnsiTheme="minorHAnsi" w:cstheme="minorHAnsi"/>
          <w:color w:val="212121"/>
          <w:sz w:val="22"/>
          <w:szCs w:val="22"/>
        </w:rPr>
        <w:t>oraz przesłani</w:t>
      </w:r>
      <w:r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="009C0D7D">
        <w:rPr>
          <w:rFonts w:asciiTheme="minorHAnsi" w:hAnsiTheme="minorHAnsi" w:cstheme="minorHAnsi"/>
          <w:color w:val="212121"/>
          <w:sz w:val="22"/>
          <w:szCs w:val="22"/>
        </w:rPr>
        <w:t xml:space="preserve"> kopii </w:t>
      </w:r>
      <w:r w:rsidR="00A15610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Zamawiającemu </w:t>
      </w:r>
    </w:p>
    <w:p w14:paraId="51FCEBB4" w14:textId="1586F54F" w:rsidR="006406F5" w:rsidRPr="006126FC" w:rsidRDefault="00EF56F4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przygotowania</w:t>
      </w:r>
      <w:r w:rsidR="006406F5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raportu ewaluacyjnego ze szkolenia dla Zamawiającego</w:t>
      </w:r>
    </w:p>
    <w:p w14:paraId="4EF8BE5B" w14:textId="77777777" w:rsidR="00933067" w:rsidRPr="006126FC" w:rsidRDefault="00933067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oznakowan</w:t>
      </w:r>
      <w:r w:rsidR="000C4545" w:rsidRPr="006126FC">
        <w:rPr>
          <w:rFonts w:asciiTheme="minorHAnsi" w:hAnsiTheme="minorHAnsi" w:cstheme="minorHAnsi"/>
          <w:color w:val="212121"/>
          <w:sz w:val="22"/>
          <w:szCs w:val="22"/>
        </w:rPr>
        <w:t>i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a wszystkich dokumentów</w:t>
      </w:r>
      <w:r w:rsidR="00E848D2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odpowiednimi logotypami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tj. strony tytułowej materiałów szkoleniowych, list obecności</w:t>
      </w:r>
      <w:r w:rsidR="00A15610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sporządzonych na podstawie zrzutów ekranu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, zaświadczeń o uczestnictwie w szkoleniu (certyfikatów), raportów z ewaluacji szkoleń, ankiet, protokołu odbioru zgodnie z wymaganiami wskazanymi przez Zamawiającego</w:t>
      </w:r>
      <w:r w:rsidR="00E848D2" w:rsidRPr="006126FC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37AB8FC9" w14:textId="6A8401BE" w:rsidR="00903BF3" w:rsidRDefault="00EF56F4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przygotowania</w:t>
      </w:r>
      <w:r w:rsidR="00200E97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03BF3" w:rsidRPr="006126FC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3F5DF3" w:rsidRPr="006126FC">
        <w:rPr>
          <w:rFonts w:asciiTheme="minorHAnsi" w:hAnsiTheme="minorHAnsi" w:cstheme="minorHAnsi"/>
          <w:color w:val="212121"/>
          <w:sz w:val="22"/>
          <w:szCs w:val="22"/>
        </w:rPr>
        <w:t>rotoko</w:t>
      </w:r>
      <w:r w:rsidR="00903BF3" w:rsidRPr="006126FC">
        <w:rPr>
          <w:rFonts w:asciiTheme="minorHAnsi" w:hAnsiTheme="minorHAnsi" w:cstheme="minorHAnsi"/>
          <w:color w:val="212121"/>
          <w:sz w:val="22"/>
          <w:szCs w:val="22"/>
        </w:rPr>
        <w:t>ł</w:t>
      </w:r>
      <w:r w:rsidR="003F5DF3" w:rsidRPr="006126FC">
        <w:rPr>
          <w:rFonts w:asciiTheme="minorHAnsi" w:hAnsiTheme="minorHAnsi" w:cstheme="minorHAnsi"/>
          <w:color w:val="212121"/>
          <w:sz w:val="22"/>
          <w:szCs w:val="22"/>
        </w:rPr>
        <w:t>u</w:t>
      </w:r>
      <w:r w:rsidR="00903BF3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odbioru w formie papierowej zgodnie z wymaganiami Zamawiającego.</w:t>
      </w:r>
    </w:p>
    <w:p w14:paraId="255ADC3A" w14:textId="6543C058" w:rsidR="008256B1" w:rsidRDefault="00031BE0" w:rsidP="008256B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możliwość zadawania pytań/kontaktu mailowego z trenerem po szkoleniu przez 7 dni roboczych.</w:t>
      </w:r>
    </w:p>
    <w:p w14:paraId="721FCE89" w14:textId="21DA44D2" w:rsidR="009C0D7D" w:rsidRPr="008256B1" w:rsidRDefault="00EF56F4" w:rsidP="008256B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Zapewnienia sali</w:t>
      </w:r>
      <w:r w:rsidR="009C0D7D"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 szkolen</w:t>
      </w:r>
      <w:r>
        <w:rPr>
          <w:rFonts w:asciiTheme="minorHAnsi" w:hAnsiTheme="minorHAnsi" w:cstheme="minorHAnsi"/>
          <w:color w:val="212121"/>
          <w:sz w:val="22"/>
          <w:szCs w:val="22"/>
        </w:rPr>
        <w:t>iowej</w:t>
      </w:r>
      <w:r w:rsidR="009C0D7D"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  w granicach m.st. Warszawy, ale nie dalej niż 10 km od Dworca Centralnego (licząc od Alei Jerozolimskich 54, 00-024 Warszawa  za pomocą portali umożliwiających pomiar odległości, tj. </w:t>
      </w:r>
      <w:hyperlink r:id="rId5" w:history="1">
        <w:r w:rsidR="009C0D7D"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 w:rsidR="009C0D7D"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6" w:history="1">
        <w:r w:rsidR="009C0D7D"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="009C0D7D"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49435461" w14:textId="77777777" w:rsidR="009C0D7D" w:rsidRDefault="009C0D7D" w:rsidP="009C0D7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 wyposażeniem (w tym rzutnik multimedialny, laptop, flipchart, ekran, itp.)</w:t>
      </w:r>
    </w:p>
    <w:p w14:paraId="3708FBC2" w14:textId="77777777" w:rsidR="009C0D7D" w:rsidRDefault="009C0D7D" w:rsidP="009C0D7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6EAF183E" w14:textId="48CB644D" w:rsidR="009C0D7D" w:rsidRDefault="004B06B3" w:rsidP="009C0D7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</w:t>
      </w:r>
      <w:r w:rsidR="009C0D7D">
        <w:rPr>
          <w:rFonts w:ascii="Calibri" w:hAnsi="Calibri"/>
          <w:color w:val="212121"/>
          <w:sz w:val="22"/>
          <w:szCs w:val="22"/>
        </w:rPr>
        <w:t>osiadająca oświetlenie naturalne (okna) oraz sztuczne</w:t>
      </w:r>
    </w:p>
    <w:p w14:paraId="6EE4D9D6" w14:textId="5C85C84C" w:rsidR="005F037A" w:rsidRDefault="009C0D7D" w:rsidP="005F037A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posiadającej</w:t>
      </w:r>
      <w:r w:rsidRPr="00910461">
        <w:rPr>
          <w:rFonts w:asciiTheme="minorHAnsi" w:hAnsiTheme="minorHAnsi"/>
          <w:sz w:val="22"/>
          <w:szCs w:val="22"/>
        </w:rPr>
        <w:t xml:space="preserve"> klimatyzację</w:t>
      </w:r>
      <w:r>
        <w:rPr>
          <w:rFonts w:asciiTheme="minorHAnsi" w:hAnsiTheme="minorHAnsi"/>
          <w:sz w:val="22"/>
          <w:szCs w:val="22"/>
        </w:rPr>
        <w:t xml:space="preserve"> i ogrzewanie, nie dopuszcza się klimatyzatorów przenośnych</w:t>
      </w:r>
      <w:r w:rsidRPr="00910461">
        <w:rPr>
          <w:rFonts w:asciiTheme="minorHAnsi" w:hAnsiTheme="minorHAnsi"/>
          <w:sz w:val="22"/>
          <w:szCs w:val="22"/>
        </w:rPr>
        <w:t>;</w:t>
      </w:r>
    </w:p>
    <w:p w14:paraId="13620406" w14:textId="77777777" w:rsidR="005F037A" w:rsidRDefault="005F037A" w:rsidP="005F037A">
      <w:pPr>
        <w:pStyle w:val="NormalnyWeb"/>
        <w:spacing w:line="360" w:lineRule="auto"/>
        <w:ind w:left="1410"/>
        <w:jc w:val="both"/>
        <w:rPr>
          <w:rFonts w:asciiTheme="minorHAnsi" w:hAnsiTheme="minorHAnsi"/>
          <w:sz w:val="22"/>
          <w:szCs w:val="22"/>
        </w:rPr>
      </w:pPr>
    </w:p>
    <w:p w14:paraId="0CDD00E7" w14:textId="74DD78A7" w:rsidR="005F037A" w:rsidRPr="000E451D" w:rsidRDefault="005F037A" w:rsidP="00B072DD">
      <w:pPr>
        <w:pStyle w:val="NormalnyWeb"/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0E451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przypadkach uzasadnionych wystąpieniem okolicznościami, w wyniku których, na podstawie wprowadzonych przepisów, dojdzie do zaostrzenia o</w:t>
      </w:r>
      <w:r w:rsidR="00EF56F4" w:rsidRPr="000E451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graniczeń związanych z COVID-19</w:t>
      </w:r>
      <w:r w:rsidRPr="000E451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lub innych zdarzeń, których Zamawiający nie mógł przewidzieć w momencie ogłoszenia postępowania Zamawiający</w:t>
      </w:r>
      <w:r w:rsidRPr="000E451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zastrzega możliwość zmiany formy przeprowadzenia szkolenia na szkolenie on-</w:t>
      </w:r>
      <w:r w:rsidRPr="000E451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line w aplikacji MS </w:t>
      </w:r>
      <w:proofErr w:type="spellStart"/>
      <w:r w:rsidRPr="000E451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Teams</w:t>
      </w:r>
      <w:proofErr w:type="spellEnd"/>
      <w:r w:rsidRPr="000E451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. Zamawiający dopuszcza użycie innej aplikacji, tylko w przypadku gdy Wykonawca zapewni uczestnikom </w:t>
      </w:r>
      <w:r w:rsidRPr="000E451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odpowiednie oprogramowanie pozwalające na uczestnictwo w szkoleniu.</w:t>
      </w:r>
    </w:p>
    <w:p w14:paraId="5E749F81" w14:textId="3B180ABB" w:rsidR="00B072DD" w:rsidRPr="000E451D" w:rsidRDefault="005F037A" w:rsidP="00B072DD">
      <w:pPr>
        <w:pStyle w:val="Tekstkomentarza"/>
        <w:spacing w:line="276" w:lineRule="auto"/>
        <w:ind w:left="426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0E451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lastRenderedPageBreak/>
        <w:t>W przypadku zmiany formy szkolenia</w:t>
      </w:r>
      <w:r w:rsidR="00141B70" w:rsidRPr="000E451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na szkolenie online</w:t>
      </w:r>
      <w:r w:rsidRPr="000E451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Zamawiający nie poniesie kosztów wynajmu Sali szkoleniowej oraz zapewniania wyżywienia (serwis konferencyjny, kawowy, lunch).</w:t>
      </w:r>
      <w:r w:rsidR="00BA201B" w:rsidRPr="000E451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B072DD" w:rsidRPr="000E451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Wykonawca zobowiązany jest zapewnienia wszystkich niezbędnych elementów do przeprowadzenia takiego szkolenia online. Zamawiający nie ponosi z tego tytułu dodatkowych kosztów.</w:t>
      </w:r>
    </w:p>
    <w:p w14:paraId="15785F2F" w14:textId="55680E77" w:rsidR="005F037A" w:rsidRPr="00B072DD" w:rsidRDefault="005F037A" w:rsidP="005F037A">
      <w:pPr>
        <w:pStyle w:val="NormalnyWeb"/>
        <w:spacing w:line="360" w:lineRule="auto"/>
        <w:ind w:left="426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14:paraId="4DA25CF8" w14:textId="5B651267" w:rsidR="009D13D9" w:rsidRPr="00B072DD" w:rsidRDefault="009D13D9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5E4DFFD7" w14:textId="77777777" w:rsidR="009D13D9" w:rsidRPr="000E451D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E451D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Przy ocenie ofert Zamawiający będzie brał pod uwagę kryteria takie jak: </w:t>
      </w:r>
    </w:p>
    <w:p w14:paraId="715CCB45" w14:textId="77777777" w:rsidR="009D13D9" w:rsidRPr="00B072DD" w:rsidRDefault="009D13D9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0FEF130D" w14:textId="1160EC6A" w:rsidR="009D13D9" w:rsidRPr="000F35A7" w:rsidRDefault="001D3F4E" w:rsidP="009C0D7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0F35A7">
        <w:rPr>
          <w:rFonts w:asciiTheme="minorHAnsi" w:hAnsiTheme="minorHAnsi" w:cstheme="minorHAnsi"/>
          <w:b/>
          <w:bCs/>
          <w:color w:val="212121"/>
          <w:sz w:val="22"/>
          <w:szCs w:val="22"/>
        </w:rPr>
        <w:t>Całkowity koszt</w:t>
      </w:r>
      <w:r w:rsidR="009D13D9" w:rsidRPr="000F35A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przeprowadzenia szkolenia</w:t>
      </w:r>
      <w:r w:rsidR="007909B8"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 </w:t>
      </w:r>
      <w:r w:rsidR="009D13D9"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>-</w:t>
      </w:r>
      <w:r w:rsidR="00532860" w:rsidRPr="000E451D">
        <w:rPr>
          <w:rFonts w:asciiTheme="minorHAnsi" w:hAnsiTheme="minorHAnsi" w:cstheme="minorHAnsi"/>
          <w:b/>
          <w:bCs/>
          <w:color w:val="212121"/>
          <w:sz w:val="22"/>
          <w:szCs w:val="22"/>
        </w:rPr>
        <w:t>waga 55</w:t>
      </w:r>
      <w:r w:rsidR="000C4545" w:rsidRPr="000E451D">
        <w:rPr>
          <w:rFonts w:asciiTheme="minorHAnsi" w:hAnsiTheme="minorHAnsi" w:cstheme="minorHAnsi"/>
          <w:b/>
          <w:bCs/>
          <w:color w:val="212121"/>
          <w:sz w:val="22"/>
          <w:szCs w:val="22"/>
        </w:rPr>
        <w:t>%</w:t>
      </w:r>
      <w:r w:rsidR="009D13D9" w:rsidRPr="000E451D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="000C4545" w:rsidRPr="000E451D">
        <w:rPr>
          <w:rFonts w:asciiTheme="minorHAnsi" w:hAnsiTheme="minorHAnsi" w:cstheme="minorHAnsi"/>
          <w:b/>
          <w:bCs/>
          <w:color w:val="212121"/>
          <w:sz w:val="22"/>
          <w:szCs w:val="22"/>
        </w:rPr>
        <w:t>(</w:t>
      </w:r>
      <w:r w:rsidR="009D13D9" w:rsidRPr="000E451D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max </w:t>
      </w:r>
      <w:r w:rsidR="00532860" w:rsidRPr="000E451D">
        <w:rPr>
          <w:rFonts w:asciiTheme="minorHAnsi" w:hAnsiTheme="minorHAnsi" w:cstheme="minorHAnsi"/>
          <w:b/>
          <w:bCs/>
          <w:color w:val="212121"/>
          <w:sz w:val="22"/>
          <w:szCs w:val="22"/>
        </w:rPr>
        <w:t>55</w:t>
      </w:r>
      <w:r w:rsidR="009D13D9" w:rsidRPr="000E451D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pkt</w:t>
      </w:r>
      <w:r w:rsidR="000C4545" w:rsidRPr="000E451D">
        <w:rPr>
          <w:rFonts w:asciiTheme="minorHAnsi" w:hAnsiTheme="minorHAnsi" w:cstheme="minorHAnsi"/>
          <w:b/>
          <w:bCs/>
          <w:color w:val="212121"/>
          <w:sz w:val="22"/>
          <w:szCs w:val="22"/>
        </w:rPr>
        <w:t>)</w:t>
      </w:r>
      <w:r w:rsidR="009D13D9" w:rsidRPr="000E451D">
        <w:rPr>
          <w:rFonts w:asciiTheme="minorHAnsi" w:hAnsiTheme="minorHAnsi" w:cstheme="minorHAnsi"/>
          <w:b/>
          <w:bCs/>
          <w:color w:val="212121"/>
          <w:sz w:val="22"/>
          <w:szCs w:val="22"/>
        </w:rPr>
        <w:t>;</w:t>
      </w:r>
    </w:p>
    <w:p w14:paraId="04CD30CE" w14:textId="77777777" w:rsidR="007909B8" w:rsidRPr="000F35A7" w:rsidRDefault="007909B8" w:rsidP="007909B8">
      <w:pPr>
        <w:pStyle w:val="NormalnyWeb"/>
        <w:ind w:left="360"/>
        <w:jc w:val="both"/>
        <w:rPr>
          <w:rFonts w:asciiTheme="minorHAnsi" w:hAnsiTheme="minorHAnsi" w:cstheme="minorHAnsi"/>
          <w:bCs/>
          <w:color w:val="212121"/>
          <w:sz w:val="22"/>
          <w:szCs w:val="22"/>
        </w:rPr>
      </w:pPr>
    </w:p>
    <w:p w14:paraId="57495A59" w14:textId="6768A816" w:rsidR="001D3F4E" w:rsidRPr="000F35A7" w:rsidRDefault="001D3F4E" w:rsidP="001D3F4E">
      <w:pPr>
        <w:pStyle w:val="NormalnyWeb"/>
        <w:jc w:val="both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Całkowity koszt szkolenia powinien zawierać wykonanie wszystkich czynności związanych z organizacją szkolenia. W ramach </w:t>
      </w:r>
      <w:r w:rsidR="007909B8"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całkowitego kosztu szkolenia </w:t>
      </w:r>
      <w:r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>Wykonawca ma obowiązek wyodrębnić następujące składniki cenowe:</w:t>
      </w:r>
    </w:p>
    <w:p w14:paraId="340C230A" w14:textId="50A8FF50" w:rsidR="001D3F4E" w:rsidRPr="00B072DD" w:rsidRDefault="001D3F4E" w:rsidP="001D3F4E">
      <w:pPr>
        <w:pStyle w:val="NormalnyWeb"/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7E57813E" w14:textId="4466C109" w:rsidR="001D3F4E" w:rsidRPr="000F35A7" w:rsidRDefault="001D3F4E" w:rsidP="001D3F4E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Cena </w:t>
      </w:r>
      <w:r w:rsidR="00141B70"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>organizacji</w:t>
      </w:r>
      <w:r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 szkolenia</w:t>
      </w:r>
    </w:p>
    <w:p w14:paraId="2F44478E" w14:textId="4C6AEE88" w:rsidR="001D3F4E" w:rsidRPr="000F35A7" w:rsidRDefault="001D3F4E" w:rsidP="001D3F4E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>Cena zapewnienia sali szkoleniowej, zgodnej z opisem w punkcie 9</w:t>
      </w:r>
    </w:p>
    <w:p w14:paraId="615716FC" w14:textId="77777777" w:rsidR="00141B70" w:rsidRPr="000F35A7" w:rsidRDefault="001D3F4E" w:rsidP="00141B70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>Cena wyżywienia wszystkich uczestników szkolenia (serwis konferencyjny, kawowy, lunch), zgodnego z opisem w punkcie 9</w:t>
      </w:r>
    </w:p>
    <w:p w14:paraId="24C3BB9C" w14:textId="77777777" w:rsidR="00141B70" w:rsidRPr="000F35A7" w:rsidRDefault="00141B70" w:rsidP="00141B70">
      <w:pPr>
        <w:pStyle w:val="NormalnyWeb"/>
        <w:ind w:left="720"/>
        <w:jc w:val="both"/>
        <w:rPr>
          <w:b/>
          <w:color w:val="212121"/>
        </w:rPr>
      </w:pPr>
    </w:p>
    <w:p w14:paraId="59C46C58" w14:textId="0168D188" w:rsidR="00141B70" w:rsidRPr="000F35A7" w:rsidRDefault="00141B70" w:rsidP="00141B70">
      <w:pPr>
        <w:pStyle w:val="NormalnyWeb"/>
        <w:ind w:left="720"/>
        <w:jc w:val="both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W związku z sytuacją związaną z epidemią COVID-19 Zamawiający przewiduje możliwość rezygnacji z sali szkoleniowej i wyżywienia, ujętych w punktach b i c. </w:t>
      </w:r>
    </w:p>
    <w:p w14:paraId="2D3AF8AB" w14:textId="4A627CAE" w:rsidR="00EF56F4" w:rsidRDefault="00EF56F4" w:rsidP="00141B70">
      <w:pPr>
        <w:pStyle w:val="NormalnyWeb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6321882F" w14:textId="074121CB" w:rsidR="00EF56F4" w:rsidRDefault="00EF56F4" w:rsidP="00EF56F4">
      <w:pPr>
        <w:ind w:firstLine="360"/>
        <w:jc w:val="both"/>
        <w:rPr>
          <w:rFonts w:asciiTheme="minorHAnsi" w:hAnsiTheme="minorHAnsi" w:cstheme="minorHAnsi"/>
          <w:bCs/>
          <w:color w:val="212121"/>
        </w:rPr>
      </w:pPr>
      <w:r w:rsidRPr="00E36978">
        <w:rPr>
          <w:rFonts w:asciiTheme="minorHAnsi" w:hAnsiTheme="minorHAnsi" w:cstheme="minorHAnsi"/>
          <w:bCs/>
          <w:color w:val="212121"/>
        </w:rPr>
        <w:t xml:space="preserve">W </w:t>
      </w:r>
      <w:r w:rsidRPr="000F35A7">
        <w:rPr>
          <w:rFonts w:asciiTheme="minorHAnsi" w:hAnsiTheme="minorHAnsi" w:cstheme="minorHAnsi"/>
          <w:bCs/>
          <w:color w:val="212121"/>
        </w:rPr>
        <w:t>kryterium c</w:t>
      </w:r>
      <w:r w:rsidRPr="000F35A7">
        <w:rPr>
          <w:color w:val="212121"/>
        </w:rPr>
        <w:t>ałkowity koszt</w:t>
      </w:r>
      <w:r w:rsidRPr="000F35A7">
        <w:rPr>
          <w:rFonts w:asciiTheme="minorHAnsi" w:hAnsiTheme="minorHAnsi" w:cstheme="minorHAnsi"/>
          <w:bCs/>
          <w:color w:val="212121"/>
        </w:rPr>
        <w:t xml:space="preserve"> przeprowadzenia szkolenia</w:t>
      </w:r>
      <w:r w:rsidRPr="00E36978">
        <w:rPr>
          <w:rFonts w:asciiTheme="minorHAnsi" w:hAnsiTheme="minorHAnsi" w:cstheme="minorHAnsi"/>
          <w:bCs/>
          <w:color w:val="212121"/>
        </w:rPr>
        <w:t xml:space="preserve"> maksymalna liczba punktów może wynosić 55, a liczba punktów przyznana danej ofercie zostanie obliczona według podanego poniżej wzoru i zaokrąglona do dwóch miejsc po przecinku. </w:t>
      </w:r>
    </w:p>
    <w:p w14:paraId="18725A1A" w14:textId="77777777" w:rsidR="00EF56F4" w:rsidRPr="00E36978" w:rsidRDefault="00EF56F4" w:rsidP="00EF56F4">
      <w:pPr>
        <w:ind w:firstLine="360"/>
        <w:jc w:val="both"/>
        <w:rPr>
          <w:rFonts w:asciiTheme="minorHAnsi" w:hAnsiTheme="minorHAnsi" w:cstheme="minorHAnsi"/>
          <w:bCs/>
          <w:color w:val="212121"/>
        </w:rPr>
      </w:pPr>
    </w:p>
    <w:p w14:paraId="75F767EA" w14:textId="77777777" w:rsidR="00EF56F4" w:rsidRPr="00E36978" w:rsidRDefault="00EF56F4" w:rsidP="00EF56F4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36978">
        <w:rPr>
          <w:rFonts w:asciiTheme="minorHAnsi" w:hAnsiTheme="minorHAnsi" w:cstheme="minorHAnsi"/>
          <w:b/>
          <w:bCs/>
          <w:color w:val="212121"/>
        </w:rPr>
        <w:t>C=(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Cmin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Cx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) x 55</w:t>
      </w:r>
    </w:p>
    <w:p w14:paraId="2F5A7F5C" w14:textId="77777777" w:rsidR="00EF56F4" w:rsidRPr="00AE7E78" w:rsidRDefault="00EF56F4" w:rsidP="00EF56F4">
      <w:pPr>
        <w:jc w:val="center"/>
        <w:rPr>
          <w:b/>
          <w:bCs/>
          <w:color w:val="212121"/>
        </w:rPr>
      </w:pPr>
    </w:p>
    <w:p w14:paraId="3DD4AFEF" w14:textId="77777777" w:rsidR="00EF56F4" w:rsidRPr="00AE7E78" w:rsidRDefault="00EF56F4" w:rsidP="00EF56F4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 :</w:t>
      </w:r>
    </w:p>
    <w:p w14:paraId="236E308E" w14:textId="77777777" w:rsidR="00EF56F4" w:rsidRPr="000F35A7" w:rsidRDefault="00EF56F4" w:rsidP="00EF56F4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0F35A7">
        <w:rPr>
          <w:bCs/>
          <w:color w:val="212121"/>
          <w:sz w:val="18"/>
          <w:szCs w:val="18"/>
        </w:rPr>
        <w:t>C- liczba punktów przyznana badanej ofercie</w:t>
      </w:r>
    </w:p>
    <w:p w14:paraId="55496B10" w14:textId="43B12760" w:rsidR="00EF56F4" w:rsidRPr="000F35A7" w:rsidRDefault="00EF56F4" w:rsidP="00EF56F4">
      <w:pPr>
        <w:ind w:left="360" w:firstLine="360"/>
        <w:jc w:val="both"/>
        <w:rPr>
          <w:bCs/>
          <w:color w:val="212121"/>
          <w:sz w:val="18"/>
          <w:szCs w:val="18"/>
        </w:rPr>
      </w:pPr>
      <w:proofErr w:type="spellStart"/>
      <w:r w:rsidRPr="000F35A7">
        <w:rPr>
          <w:bCs/>
          <w:color w:val="212121"/>
          <w:sz w:val="18"/>
          <w:szCs w:val="18"/>
        </w:rPr>
        <w:t>Cmin</w:t>
      </w:r>
      <w:proofErr w:type="spellEnd"/>
      <w:r w:rsidRPr="000F35A7">
        <w:rPr>
          <w:bCs/>
          <w:color w:val="212121"/>
          <w:sz w:val="18"/>
          <w:szCs w:val="18"/>
        </w:rPr>
        <w:t xml:space="preserve"> - najniższa cena</w:t>
      </w:r>
      <w:r w:rsidR="000F35A7" w:rsidRPr="000F35A7">
        <w:rPr>
          <w:bCs/>
          <w:color w:val="212121"/>
          <w:sz w:val="18"/>
          <w:szCs w:val="18"/>
        </w:rPr>
        <w:t xml:space="preserve"> (c</w:t>
      </w:r>
      <w:r w:rsidR="000F35A7" w:rsidRPr="000F35A7">
        <w:rPr>
          <w:color w:val="212121"/>
          <w:sz w:val="18"/>
          <w:szCs w:val="18"/>
        </w:rPr>
        <w:t>ałkowity koszt</w:t>
      </w:r>
      <w:r w:rsidR="000F35A7" w:rsidRPr="000F35A7">
        <w:rPr>
          <w:bCs/>
          <w:color w:val="212121"/>
          <w:sz w:val="18"/>
          <w:szCs w:val="18"/>
        </w:rPr>
        <w:t xml:space="preserve"> przeprowadzenia szkolenia)</w:t>
      </w:r>
      <w:r w:rsidRPr="000F35A7">
        <w:rPr>
          <w:bCs/>
          <w:color w:val="212121"/>
          <w:sz w:val="18"/>
          <w:szCs w:val="18"/>
        </w:rPr>
        <w:t xml:space="preserve"> spośród ważnych ofert</w:t>
      </w:r>
    </w:p>
    <w:p w14:paraId="7C9D167B" w14:textId="77624227" w:rsidR="00EF56F4" w:rsidRPr="000F35A7" w:rsidRDefault="00EF56F4" w:rsidP="00EF56F4">
      <w:pPr>
        <w:ind w:left="360" w:firstLine="360"/>
        <w:jc w:val="both"/>
        <w:rPr>
          <w:bCs/>
          <w:color w:val="212121"/>
          <w:sz w:val="18"/>
          <w:szCs w:val="18"/>
        </w:rPr>
      </w:pPr>
      <w:proofErr w:type="spellStart"/>
      <w:r w:rsidRPr="000F35A7">
        <w:rPr>
          <w:bCs/>
          <w:color w:val="212121"/>
          <w:sz w:val="18"/>
          <w:szCs w:val="18"/>
        </w:rPr>
        <w:t>Cx</w:t>
      </w:r>
      <w:proofErr w:type="spellEnd"/>
      <w:r w:rsidRPr="000F35A7">
        <w:rPr>
          <w:bCs/>
          <w:color w:val="212121"/>
          <w:sz w:val="18"/>
          <w:szCs w:val="18"/>
        </w:rPr>
        <w:t xml:space="preserve"> – </w:t>
      </w:r>
      <w:r w:rsidR="000F35A7" w:rsidRPr="000F35A7">
        <w:rPr>
          <w:bCs/>
          <w:color w:val="212121"/>
          <w:sz w:val="18"/>
          <w:szCs w:val="18"/>
        </w:rPr>
        <w:t>c</w:t>
      </w:r>
      <w:r w:rsidR="000F35A7" w:rsidRPr="000F35A7">
        <w:rPr>
          <w:color w:val="212121"/>
          <w:sz w:val="18"/>
          <w:szCs w:val="18"/>
        </w:rPr>
        <w:t>ałkowity koszt</w:t>
      </w:r>
      <w:r w:rsidR="000F35A7" w:rsidRPr="000F35A7">
        <w:rPr>
          <w:bCs/>
          <w:color w:val="212121"/>
          <w:sz w:val="18"/>
          <w:szCs w:val="18"/>
        </w:rPr>
        <w:t xml:space="preserve"> przeprowadzenia szkolenia </w:t>
      </w:r>
      <w:r w:rsidRPr="000F35A7">
        <w:rPr>
          <w:bCs/>
          <w:color w:val="212121"/>
          <w:sz w:val="18"/>
          <w:szCs w:val="18"/>
        </w:rPr>
        <w:t>badanej oferty wyliczon</w:t>
      </w:r>
      <w:r w:rsidR="000F35A7" w:rsidRPr="000F35A7">
        <w:rPr>
          <w:bCs/>
          <w:color w:val="212121"/>
          <w:sz w:val="18"/>
          <w:szCs w:val="18"/>
        </w:rPr>
        <w:t>y</w:t>
      </w:r>
      <w:r w:rsidRPr="000F35A7">
        <w:rPr>
          <w:bCs/>
          <w:color w:val="212121"/>
          <w:sz w:val="18"/>
          <w:szCs w:val="18"/>
        </w:rPr>
        <w:t xml:space="preserve"> zgodnie ze wskazaniem Zamawiającego, tj. stawka za 1 osobę x liczba osób</w:t>
      </w:r>
    </w:p>
    <w:p w14:paraId="3F560C45" w14:textId="77777777" w:rsidR="00EF56F4" w:rsidRPr="00B072DD" w:rsidRDefault="00EF56F4" w:rsidP="00141B70">
      <w:pPr>
        <w:pStyle w:val="NormalnyWeb"/>
        <w:ind w:left="720"/>
        <w:jc w:val="both"/>
        <w:rPr>
          <w:rStyle w:val="NagwekZnak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61BA8C4C" w14:textId="77777777" w:rsidR="009D13D9" w:rsidRPr="00B072DD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71505E34" w14:textId="117A79FC" w:rsidR="009D13D9" w:rsidRPr="000F35A7" w:rsidRDefault="00445E6B" w:rsidP="0058516B">
      <w:pPr>
        <w:pStyle w:val="NormalnyWeb"/>
        <w:numPr>
          <w:ilvl w:val="0"/>
          <w:numId w:val="3"/>
        </w:numPr>
        <w:jc w:val="both"/>
        <w:rPr>
          <w:rFonts w:ascii="Calibri" w:hAnsi="Calibri" w:cs="Calibri"/>
          <w:bCs/>
          <w:color w:val="212121"/>
          <w:sz w:val="22"/>
          <w:szCs w:val="22"/>
        </w:rPr>
      </w:pPr>
      <w:r w:rsidRPr="000F35A7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Doświadczenie </w:t>
      </w:r>
      <w:r w:rsidR="00D23742" w:rsidRPr="000F35A7">
        <w:rPr>
          <w:rFonts w:asciiTheme="minorHAnsi" w:hAnsiTheme="minorHAnsi" w:cstheme="minorHAnsi"/>
          <w:b/>
          <w:color w:val="212121"/>
          <w:sz w:val="22"/>
          <w:szCs w:val="22"/>
        </w:rPr>
        <w:t>trenera</w:t>
      </w:r>
      <w:r w:rsidR="000C4545" w:rsidRPr="000F35A7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-</w:t>
      </w:r>
      <w:r w:rsidR="002D5F51" w:rsidRPr="002D5F5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</w:t>
      </w:r>
      <w:r w:rsidR="002D5F51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liczba przeprowadzonych szkoleń przez wskazanego trenera</w:t>
      </w:r>
      <w:r w:rsidR="002D5F51"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2D5F51" w:rsidRPr="006126FC">
        <w:rPr>
          <w:rFonts w:asciiTheme="minorHAnsi" w:hAnsiTheme="minorHAnsi" w:cstheme="minorHAnsi"/>
          <w:bCs/>
          <w:sz w:val="22"/>
          <w:szCs w:val="22"/>
        </w:rPr>
        <w:t>(zgodnie  z wymaganiami określonymi w załączonej tabeli, za każde szkolenie wykazane w tabeli powyżej wymaganego minimum trener otrzyma 1 punkt. Za realizację równo 30 szkoleń trenerowi nie zostaną przyznane punkty)</w:t>
      </w:r>
      <w:r w:rsidR="000F35A7" w:rsidRPr="000F35A7">
        <w:rPr>
          <w:rFonts w:ascii="Calibri" w:hAnsi="Calibri" w:cs="Calibri"/>
          <w:bCs/>
          <w:color w:val="212121"/>
          <w:sz w:val="22"/>
          <w:szCs w:val="22"/>
        </w:rPr>
        <w:t xml:space="preserve">– </w:t>
      </w:r>
      <w:r w:rsidR="000F35A7" w:rsidRPr="000F35A7">
        <w:rPr>
          <w:rFonts w:ascii="Calibri" w:hAnsi="Calibri" w:cs="Calibri"/>
          <w:b/>
          <w:bCs/>
          <w:color w:val="212121"/>
          <w:sz w:val="22"/>
          <w:szCs w:val="22"/>
        </w:rPr>
        <w:t>waga 45% (max 45 pkt)</w:t>
      </w:r>
    </w:p>
    <w:p w14:paraId="6E7CE7A4" w14:textId="77777777" w:rsidR="000F35A7" w:rsidRPr="000F35A7" w:rsidRDefault="000F35A7" w:rsidP="000F35A7">
      <w:pPr>
        <w:pStyle w:val="NormalnyWeb"/>
        <w:ind w:left="360"/>
        <w:jc w:val="both"/>
        <w:rPr>
          <w:rFonts w:ascii="Calibri" w:hAnsi="Calibri" w:cs="Calibri"/>
          <w:bCs/>
          <w:color w:val="212121"/>
          <w:sz w:val="22"/>
          <w:szCs w:val="22"/>
        </w:rPr>
      </w:pPr>
    </w:p>
    <w:p w14:paraId="361B7E33" w14:textId="77777777" w:rsidR="000F35A7" w:rsidRPr="000F35A7" w:rsidRDefault="000F35A7" w:rsidP="000F35A7">
      <w:pPr>
        <w:ind w:left="360"/>
        <w:jc w:val="both"/>
        <w:rPr>
          <w:bCs/>
          <w:color w:val="212121"/>
        </w:rPr>
      </w:pPr>
      <w:r w:rsidRPr="000F35A7">
        <w:rPr>
          <w:bCs/>
          <w:color w:val="212121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57C52F4F" w14:textId="77777777" w:rsidR="000F35A7" w:rsidRPr="00E36978" w:rsidRDefault="000F35A7" w:rsidP="000F35A7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36978">
        <w:rPr>
          <w:rFonts w:asciiTheme="minorHAnsi" w:hAnsiTheme="minorHAnsi" w:cstheme="minorHAnsi"/>
          <w:b/>
          <w:bCs/>
          <w:color w:val="212121"/>
        </w:rPr>
        <w:t>D = (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Dx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Dmax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) x 45</w:t>
      </w:r>
    </w:p>
    <w:p w14:paraId="42B4E029" w14:textId="77777777" w:rsidR="000F35A7" w:rsidRPr="00AE7E78" w:rsidRDefault="000F35A7" w:rsidP="000F35A7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gdzie:</w:t>
      </w:r>
    </w:p>
    <w:p w14:paraId="30086567" w14:textId="77777777" w:rsidR="000F35A7" w:rsidRPr="00AE7E78" w:rsidRDefault="000F35A7" w:rsidP="000F35A7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– liczba punktów przyznana badanej ofercie</w:t>
      </w:r>
    </w:p>
    <w:p w14:paraId="4D26F875" w14:textId="77777777" w:rsidR="000F35A7" w:rsidRPr="00AE7E78" w:rsidRDefault="000F35A7" w:rsidP="000F35A7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6B168AC0" w14:textId="3EB2BF87" w:rsidR="000F35A7" w:rsidRPr="00AE7E78" w:rsidRDefault="000F35A7" w:rsidP="000F35A7">
      <w:pPr>
        <w:ind w:left="360" w:firstLine="360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D</w:t>
      </w:r>
      <w:r w:rsidRPr="00AE7E78">
        <w:rPr>
          <w:bCs/>
          <w:color w:val="212121"/>
          <w:sz w:val="16"/>
          <w:szCs w:val="16"/>
        </w:rPr>
        <w:t>x</w:t>
      </w:r>
      <w:proofErr w:type="spellEnd"/>
      <w:r w:rsidRPr="00AE7E78">
        <w:rPr>
          <w:bCs/>
          <w:color w:val="212121"/>
          <w:sz w:val="16"/>
          <w:szCs w:val="16"/>
        </w:rPr>
        <w:t xml:space="preserve"> - </w:t>
      </w:r>
      <w:r>
        <w:rPr>
          <w:bCs/>
          <w:color w:val="212121"/>
          <w:sz w:val="18"/>
          <w:szCs w:val="18"/>
        </w:rPr>
        <w:t xml:space="preserve"> </w:t>
      </w:r>
      <w:r w:rsidRPr="00AE7E78">
        <w:rPr>
          <w:bCs/>
          <w:color w:val="212121"/>
          <w:sz w:val="18"/>
          <w:szCs w:val="18"/>
        </w:rPr>
        <w:t xml:space="preserve">liczba punktów przyznana trenerowi wykazanemu w badanej ofercie (zgodnie  z wymaganiami określonymi w załączonej tabeli, za każde szkolenie wykazane w tabeli powyżej wymaganego minimum trener otrzyma 1 punkt. Za realizację równo 30 szkoleń nie zostaną przyznane punkty) </w:t>
      </w:r>
    </w:p>
    <w:p w14:paraId="5AD5D751" w14:textId="77777777" w:rsidR="000F35A7" w:rsidRPr="00CA1313" w:rsidRDefault="000F35A7" w:rsidP="000F35A7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8B22A19" w14:textId="77777777" w:rsidR="000F35A7" w:rsidRPr="00795A9D" w:rsidRDefault="000F35A7" w:rsidP="000F35A7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795A9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lastRenderedPageBreak/>
        <w:t>Wykonawca może otrzymać maksymalnie 100 punktów liczonych jako suma punktów przyznanych w kryterium:</w:t>
      </w:r>
    </w:p>
    <w:p w14:paraId="4605DB98" w14:textId="4FD35B46" w:rsidR="000F35A7" w:rsidRPr="00795A9D" w:rsidRDefault="000F35A7" w:rsidP="000F35A7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795A9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1) </w:t>
      </w:r>
      <w:r w:rsidRPr="00E80F1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Całkowity koszt</w:t>
      </w:r>
      <w:r w:rsidRPr="00E80F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80F1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przeprowadzenia szkolenia</w:t>
      </w:r>
      <w:r w:rsidRPr="00E80F1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9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i 2) doświadczenie trenera. </w:t>
      </w:r>
    </w:p>
    <w:p w14:paraId="69C6403D" w14:textId="77777777" w:rsidR="000F35A7" w:rsidRPr="00795A9D" w:rsidRDefault="000F35A7" w:rsidP="000F35A7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795A9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Za najwyżej </w:t>
      </w:r>
      <w:r w:rsidRPr="00744F62">
        <w:rPr>
          <w:rFonts w:asciiTheme="minorHAnsi" w:eastAsia="Times New Roman" w:hAnsiTheme="minorHAnsi" w:cstheme="minorHAnsi"/>
          <w:b/>
          <w:sz w:val="22"/>
          <w:szCs w:val="22"/>
        </w:rPr>
        <w:t>ocenioną</w:t>
      </w:r>
      <w:r w:rsidRPr="00795A9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zostanie uznana oferta, która uzyskała najwyższą liczbę punktów – sumę punktów przyznanych w kryterium 1) i 2) w oparciu o podane w niniejszym zapytaniu ofertowym kryteria oceny ofert.</w:t>
      </w:r>
    </w:p>
    <w:p w14:paraId="759B652F" w14:textId="77777777" w:rsidR="000F35A7" w:rsidRPr="00CA1313" w:rsidRDefault="000F35A7" w:rsidP="000F35A7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6585B408" w14:textId="130210D4" w:rsidR="000F35A7" w:rsidRPr="00795A9D" w:rsidRDefault="000F35A7" w:rsidP="000F35A7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ofertę, która zawiera najniższy</w:t>
      </w:r>
      <w:r w:rsidRPr="00795A9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80F13">
        <w:rPr>
          <w:rFonts w:asciiTheme="minorHAnsi" w:eastAsia="Times New Roman" w:hAnsiTheme="minorHAnsi" w:cstheme="minorHAnsi"/>
          <w:sz w:val="22"/>
          <w:szCs w:val="22"/>
        </w:rPr>
        <w:t xml:space="preserve">całkowity koszt przeprowadzenia szkolenia </w:t>
      </w:r>
      <w:r w:rsidRPr="00795A9D">
        <w:rPr>
          <w:rFonts w:asciiTheme="minorHAnsi" w:eastAsia="Times New Roman" w:hAnsiTheme="minorHAnsi" w:cstheme="minorHAnsi"/>
          <w:sz w:val="22"/>
          <w:szCs w:val="22"/>
        </w:rPr>
        <w:t>(która uzyskała n</w:t>
      </w:r>
      <w:r w:rsidR="00E80F13">
        <w:rPr>
          <w:rFonts w:asciiTheme="minorHAnsi" w:eastAsia="Times New Roman" w:hAnsiTheme="minorHAnsi" w:cstheme="minorHAnsi"/>
          <w:sz w:val="22"/>
          <w:szCs w:val="22"/>
        </w:rPr>
        <w:t>ajwięcej punktów w kryterium 1)</w:t>
      </w:r>
    </w:p>
    <w:p w14:paraId="3194D77C" w14:textId="77777777" w:rsidR="000F35A7" w:rsidRPr="006126FC" w:rsidRDefault="000F35A7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33AEF25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5D40289" w14:textId="198A6813" w:rsidR="000B0E0C" w:rsidRPr="006126FC" w:rsidRDefault="006406F5" w:rsidP="00AD4F1E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D0022"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</w:t>
      </w:r>
      <w:r w:rsidR="004B06B3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121</w:t>
      </w:r>
    </w:p>
    <w:p w14:paraId="38DEAF6F" w14:textId="34B67914" w:rsidR="006406F5" w:rsidRPr="006126FC" w:rsidRDefault="006406F5" w:rsidP="00AD4F1E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805DF0">
        <w:rPr>
          <w:rStyle w:val="Pogrubienie"/>
          <w:rFonts w:asciiTheme="minorHAnsi" w:hAnsiTheme="minorHAnsi" w:cstheme="minorHAnsi"/>
          <w:sz w:val="22"/>
          <w:szCs w:val="22"/>
        </w:rPr>
        <w:t xml:space="preserve">6 grup szkoleniowych x </w:t>
      </w:r>
      <w:r w:rsidR="005D5901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031BE0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dni</w:t>
      </w:r>
      <w:r w:rsidR="00AD4F1E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(Program szkolenia powinien obejmować co najmniej </w:t>
      </w:r>
      <w:r w:rsidR="005D590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16</w:t>
      </w:r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godzin szkoleniow</w:t>
      </w:r>
      <w:r w:rsidR="005D590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ych</w:t>
      </w:r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– po 8 godzin szkoleniowych </w:t>
      </w:r>
      <w:r w:rsidR="005D590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pierwszego i</w:t>
      </w:r>
      <w:r w:rsidR="000B0E0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</w:t>
      </w:r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drugiego dnia; godzina szkoleniowa = 45 minut</w:t>
      </w:r>
      <w:r w:rsidRPr="006126F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805DF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 Łącznie 12 dni szkolenia.</w:t>
      </w:r>
    </w:p>
    <w:p w14:paraId="51FCF5B0" w14:textId="77777777" w:rsidR="00AD4F1E" w:rsidRPr="006126FC" w:rsidRDefault="00AD4F1E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706A3BE6" w14:textId="78301A1C" w:rsidR="006406F5" w:rsidRPr="000B0E0C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</w:t>
      </w:r>
      <w:r w:rsidR="000B0E0C"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nia</w:t>
      </w:r>
      <w:r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:</w:t>
      </w:r>
      <w:r w:rsidRPr="00DD6DE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D6DE2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 </w:t>
      </w:r>
      <w:r w:rsidR="0094789F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94789F" w:rsidRPr="00E80F1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październik</w:t>
      </w:r>
      <w:r w:rsidR="008256B1" w:rsidRPr="00E80F1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-listopad</w:t>
      </w:r>
      <w:r w:rsidR="00AD4F1E" w:rsidRPr="00E80F1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2021r.</w:t>
      </w:r>
    </w:p>
    <w:p w14:paraId="3688D407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A3AD28E" w14:textId="3F497745" w:rsidR="006406F5" w:rsidRPr="00E80F13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E80F13">
        <w:rPr>
          <w:rFonts w:asciiTheme="minorHAnsi" w:hAnsiTheme="minorHAnsi" w:cstheme="minorHAnsi"/>
          <w:bCs/>
          <w:color w:val="000000"/>
          <w:sz w:val="22"/>
          <w:szCs w:val="22"/>
        </w:rPr>
        <w:t>Proszę o przesłanie oferty mailem na adresy</w:t>
      </w:r>
      <w:r w:rsidRPr="00E80F13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9236D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5341" w:rsidRPr="00135341">
        <w:rPr>
          <w:rStyle w:val="Hipercze"/>
        </w:rPr>
        <w:t>e.marciniak@mazowia.eu</w:t>
      </w:r>
      <w:r w:rsidRPr="009236DF">
        <w:rPr>
          <w:rFonts w:asciiTheme="minorHAnsi" w:hAnsiTheme="minorHAnsi" w:cstheme="minorHAnsi"/>
          <w:color w:val="212121"/>
          <w:sz w:val="22"/>
          <w:szCs w:val="22"/>
        </w:rPr>
        <w:t>  </w:t>
      </w:r>
      <w:r w:rsidR="00B562E1" w:rsidRPr="009236DF">
        <w:rPr>
          <w:rFonts w:asciiTheme="minorHAnsi" w:hAnsiTheme="minorHAnsi" w:cstheme="minorHAnsi"/>
          <w:color w:val="212121"/>
          <w:sz w:val="22"/>
          <w:szCs w:val="22"/>
        </w:rPr>
        <w:t xml:space="preserve">oraz </w:t>
      </w:r>
      <w:hyperlink r:id="rId7" w:history="1">
        <w:r w:rsidRPr="009236DF">
          <w:rPr>
            <w:rStyle w:val="Hipercze"/>
            <w:rFonts w:asciiTheme="minorHAnsi" w:hAnsiTheme="minorHAnsi" w:cstheme="minorHAnsi"/>
            <w:sz w:val="22"/>
            <w:szCs w:val="22"/>
          </w:rPr>
          <w:t>i.plodzik@mazowia.eu</w:t>
        </w:r>
      </w:hyperlink>
      <w:r w:rsidRPr="009236DF">
        <w:rPr>
          <w:rFonts w:asciiTheme="minorHAnsi" w:hAnsiTheme="minorHAnsi" w:cstheme="minorHAnsi"/>
          <w:color w:val="212121"/>
          <w:sz w:val="22"/>
          <w:szCs w:val="22"/>
        </w:rPr>
        <w:t xml:space="preserve"> do dnia</w:t>
      </w:r>
      <w:r w:rsidR="00B562E1" w:rsidRPr="009236D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F35A7" w:rsidRPr="00E80F13">
        <w:rPr>
          <w:rFonts w:asciiTheme="minorHAnsi" w:hAnsiTheme="minorHAnsi" w:cstheme="minorHAnsi"/>
          <w:b/>
          <w:color w:val="212121"/>
          <w:sz w:val="22"/>
          <w:szCs w:val="22"/>
        </w:rPr>
        <w:t>13</w:t>
      </w:r>
      <w:r w:rsidR="00B562E1" w:rsidRPr="00E80F13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0F35A7" w:rsidRPr="00E80F13">
        <w:rPr>
          <w:rFonts w:asciiTheme="minorHAnsi" w:hAnsiTheme="minorHAnsi" w:cstheme="minorHAnsi"/>
          <w:b/>
          <w:color w:val="212121"/>
          <w:sz w:val="22"/>
          <w:szCs w:val="22"/>
        </w:rPr>
        <w:t>września</w:t>
      </w:r>
      <w:r w:rsidR="00B562E1" w:rsidRPr="00E80F13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736290" w:rsidRPr="00E80F13">
        <w:rPr>
          <w:rFonts w:asciiTheme="minorHAnsi" w:hAnsiTheme="minorHAnsi" w:cstheme="minorHAnsi"/>
          <w:b/>
          <w:color w:val="212121"/>
          <w:sz w:val="22"/>
          <w:szCs w:val="22"/>
        </w:rPr>
        <w:t>2021</w:t>
      </w:r>
      <w:r w:rsidR="00A56276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do godziny 10.00</w:t>
      </w:r>
      <w:bookmarkStart w:id="0" w:name="_GoBack"/>
      <w:bookmarkEnd w:id="0"/>
      <w:r w:rsidR="003979D9" w:rsidRPr="00E80F13">
        <w:rPr>
          <w:rFonts w:asciiTheme="minorHAnsi" w:hAnsiTheme="minorHAnsi" w:cstheme="minorHAnsi"/>
          <w:b/>
          <w:color w:val="212121"/>
          <w:sz w:val="22"/>
          <w:szCs w:val="22"/>
        </w:rPr>
        <w:t>.</w:t>
      </w:r>
      <w:r w:rsidR="003979D9" w:rsidRPr="00E80F13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</w:t>
      </w:r>
    </w:p>
    <w:p w14:paraId="5F7E9653" w14:textId="77777777" w:rsidR="008256B1" w:rsidRDefault="008256B1" w:rsidP="008256B1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499ABB0E" w14:textId="77777777" w:rsidR="00135341" w:rsidRPr="006126FC" w:rsidRDefault="00135341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1096E5F2" w14:textId="52781450" w:rsidR="005D5901" w:rsidRDefault="006406F5" w:rsidP="006406F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Proszę o określenie w ofercie jednostkowego kosztu udziału w szkoleniu</w:t>
      </w:r>
      <w:r w:rsidRPr="006126FC">
        <w:rPr>
          <w:rFonts w:asciiTheme="minorHAnsi" w:hAnsiTheme="minorHAnsi" w:cstheme="minorHAnsi"/>
          <w:color w:val="000000"/>
          <w:sz w:val="22"/>
          <w:szCs w:val="22"/>
        </w:rPr>
        <w:t xml:space="preserve"> (na 1 uczestnika) oraz </w:t>
      </w:r>
      <w:r w:rsidR="007909B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całkowitego</w:t>
      </w: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kosztu </w:t>
      </w:r>
      <w:r w:rsidR="007909B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przeprowadzenia </w:t>
      </w: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szkolenia</w:t>
      </w:r>
      <w:r w:rsidR="007909B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, wyliczonego zgodnie ze wskazaniem zamawiającego, tj. stawka za 1 osobę x liczba osób (zgodnie z formularzem ofertowym)</w:t>
      </w:r>
      <w:r w:rsidRPr="006126F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3F6719F" w14:textId="6071B188" w:rsidR="008256B1" w:rsidRDefault="008256B1" w:rsidP="006406F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B4A745" w14:textId="77777777" w:rsidR="008256B1" w:rsidRDefault="008256B1" w:rsidP="006406F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C76496" w14:textId="6A06E38D" w:rsidR="006406F5" w:rsidRPr="006126FC" w:rsidRDefault="006406F5" w:rsidP="005D5901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Ostateczna kwota wynagrodzenia Wykonawcy będzie zależeć od rzeczywistej liczby uczestników szkolenia, przez co należy rozumieć liczbę uczestników przesłanych mailem w formie listy na 3 dni robocze przed planowanym terminem szkolenia.</w:t>
      </w:r>
      <w:r w:rsidR="005D59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D5901" w:rsidRPr="005D5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Minimalna liczba uczestników  zagwarantowana przez Zamawiającego wynosi</w:t>
      </w:r>
      <w:r w:rsidR="004B06B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110</w:t>
      </w:r>
      <w:r w:rsidR="005D5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osób.</w:t>
      </w:r>
    </w:p>
    <w:p w14:paraId="2E6ABF1C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4D46CE08" w14:textId="3C4A759D" w:rsidR="009C0D7D" w:rsidRPr="00135341" w:rsidRDefault="006406F5" w:rsidP="00185A7E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  <w:r w:rsidR="001353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 zawodowego.</w:t>
      </w:r>
    </w:p>
    <w:sectPr w:rsidR="009C0D7D" w:rsidRPr="00135341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72C12"/>
    <w:multiLevelType w:val="hybridMultilevel"/>
    <w:tmpl w:val="CBE6B9AE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0723E"/>
    <w:multiLevelType w:val="hybridMultilevel"/>
    <w:tmpl w:val="072803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441DF"/>
    <w:multiLevelType w:val="multilevel"/>
    <w:tmpl w:val="3AB6BC4E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B282E"/>
    <w:multiLevelType w:val="hybridMultilevel"/>
    <w:tmpl w:val="2DCC4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E0732"/>
    <w:multiLevelType w:val="hybridMultilevel"/>
    <w:tmpl w:val="DA021032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77A9"/>
    <w:rsid w:val="00031BE0"/>
    <w:rsid w:val="000338A2"/>
    <w:rsid w:val="000631D5"/>
    <w:rsid w:val="00090DF4"/>
    <w:rsid w:val="000B0E0C"/>
    <w:rsid w:val="000C4545"/>
    <w:rsid w:val="000D5ECE"/>
    <w:rsid w:val="000E451D"/>
    <w:rsid w:val="000F35A7"/>
    <w:rsid w:val="00122F96"/>
    <w:rsid w:val="00135341"/>
    <w:rsid w:val="00141B70"/>
    <w:rsid w:val="00150430"/>
    <w:rsid w:val="00185A7E"/>
    <w:rsid w:val="001873C9"/>
    <w:rsid w:val="001A5878"/>
    <w:rsid w:val="001D0D7B"/>
    <w:rsid w:val="001D3F4E"/>
    <w:rsid w:val="001F1124"/>
    <w:rsid w:val="001F4DC9"/>
    <w:rsid w:val="00200E97"/>
    <w:rsid w:val="0022517B"/>
    <w:rsid w:val="00243C75"/>
    <w:rsid w:val="00297595"/>
    <w:rsid w:val="002D54A1"/>
    <w:rsid w:val="002D5F51"/>
    <w:rsid w:val="00310D0C"/>
    <w:rsid w:val="003240C8"/>
    <w:rsid w:val="00351813"/>
    <w:rsid w:val="003979D9"/>
    <w:rsid w:val="003C0A2D"/>
    <w:rsid w:val="003C751D"/>
    <w:rsid w:val="003E16F4"/>
    <w:rsid w:val="003F5DF3"/>
    <w:rsid w:val="00445E6B"/>
    <w:rsid w:val="0047380F"/>
    <w:rsid w:val="00492C06"/>
    <w:rsid w:val="004A27E7"/>
    <w:rsid w:val="004B06B3"/>
    <w:rsid w:val="004B3DB3"/>
    <w:rsid w:val="004F616D"/>
    <w:rsid w:val="00532860"/>
    <w:rsid w:val="00542F82"/>
    <w:rsid w:val="005735F3"/>
    <w:rsid w:val="00596810"/>
    <w:rsid w:val="005B7C6E"/>
    <w:rsid w:val="005D5901"/>
    <w:rsid w:val="005E0F16"/>
    <w:rsid w:val="005F037A"/>
    <w:rsid w:val="006126FC"/>
    <w:rsid w:val="006406F5"/>
    <w:rsid w:val="00657F9A"/>
    <w:rsid w:val="00670D1A"/>
    <w:rsid w:val="00682701"/>
    <w:rsid w:val="006E7727"/>
    <w:rsid w:val="0072441B"/>
    <w:rsid w:val="00736290"/>
    <w:rsid w:val="00744F62"/>
    <w:rsid w:val="007869DB"/>
    <w:rsid w:val="007909B8"/>
    <w:rsid w:val="007D2F07"/>
    <w:rsid w:val="007E77E3"/>
    <w:rsid w:val="008029A0"/>
    <w:rsid w:val="00805DF0"/>
    <w:rsid w:val="008256B1"/>
    <w:rsid w:val="008F1198"/>
    <w:rsid w:val="00903BF3"/>
    <w:rsid w:val="009076C0"/>
    <w:rsid w:val="009160F2"/>
    <w:rsid w:val="009236DF"/>
    <w:rsid w:val="00933067"/>
    <w:rsid w:val="0094789F"/>
    <w:rsid w:val="00962A3C"/>
    <w:rsid w:val="009652F2"/>
    <w:rsid w:val="009B6B0E"/>
    <w:rsid w:val="009C0D7D"/>
    <w:rsid w:val="009D13D9"/>
    <w:rsid w:val="00A15610"/>
    <w:rsid w:val="00A4253E"/>
    <w:rsid w:val="00A56276"/>
    <w:rsid w:val="00A71730"/>
    <w:rsid w:val="00AA00E9"/>
    <w:rsid w:val="00AC2ED5"/>
    <w:rsid w:val="00AD4F1E"/>
    <w:rsid w:val="00AD7B78"/>
    <w:rsid w:val="00B072DD"/>
    <w:rsid w:val="00B23491"/>
    <w:rsid w:val="00B2678B"/>
    <w:rsid w:val="00B42245"/>
    <w:rsid w:val="00B562E1"/>
    <w:rsid w:val="00B85BCC"/>
    <w:rsid w:val="00BA201B"/>
    <w:rsid w:val="00BD0022"/>
    <w:rsid w:val="00BD3A59"/>
    <w:rsid w:val="00C335B6"/>
    <w:rsid w:val="00C42BFA"/>
    <w:rsid w:val="00C743D9"/>
    <w:rsid w:val="00CD0808"/>
    <w:rsid w:val="00D23742"/>
    <w:rsid w:val="00D319D8"/>
    <w:rsid w:val="00D465B3"/>
    <w:rsid w:val="00D50F12"/>
    <w:rsid w:val="00D57A13"/>
    <w:rsid w:val="00D91548"/>
    <w:rsid w:val="00DC55D4"/>
    <w:rsid w:val="00DD6DE2"/>
    <w:rsid w:val="00DE17EF"/>
    <w:rsid w:val="00DE1970"/>
    <w:rsid w:val="00E169F1"/>
    <w:rsid w:val="00E80F13"/>
    <w:rsid w:val="00E848D2"/>
    <w:rsid w:val="00EB50B2"/>
    <w:rsid w:val="00EB67C4"/>
    <w:rsid w:val="00EF56F4"/>
    <w:rsid w:val="00F314AE"/>
    <w:rsid w:val="00F46061"/>
    <w:rsid w:val="00F817B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41B70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1B70"/>
  </w:style>
  <w:style w:type="paragraph" w:styleId="Nagwek">
    <w:name w:val="header"/>
    <w:basedOn w:val="Normalny"/>
    <w:next w:val="Tekstpodstawowy0"/>
    <w:link w:val="NagwekZnak"/>
    <w:uiPriority w:val="99"/>
    <w:unhideWhenUsed/>
    <w:rsid w:val="00141B7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41B70"/>
    <w:rPr>
      <w:rFonts w:ascii="Calibri" w:hAnsi="Calibri" w:cs="Calibri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141B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141B70"/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rsid w:val="00EF56F4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plodzik@mazow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Ewa Marciniak</cp:lastModifiedBy>
  <cp:revision>7</cp:revision>
  <cp:lastPrinted>2021-08-20T09:50:00Z</cp:lastPrinted>
  <dcterms:created xsi:type="dcterms:W3CDTF">2021-09-03T08:39:00Z</dcterms:created>
  <dcterms:modified xsi:type="dcterms:W3CDTF">2021-09-03T10:44:00Z</dcterms:modified>
</cp:coreProperties>
</file>