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6FF79AB4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8F6E275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25A47BF" w14:textId="77777777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5C7F286D" w14:textId="77777777" w:rsidR="006C38B8" w:rsidRDefault="006C38B8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53EC6BA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245A91FB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9F1DCE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Szanowni Państwo,</w:t>
      </w:r>
    </w:p>
    <w:p w14:paraId="1047369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705EEA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W związku z zamiarem udzielenia zamówienia dotyczącego organizacji szkolenia z</w:t>
      </w:r>
      <w:r w:rsidR="00266B84">
        <w:rPr>
          <w:rFonts w:asciiTheme="minorHAnsi" w:hAnsiTheme="minorHAnsi" w:cstheme="minorHAnsi"/>
          <w:color w:val="212121"/>
        </w:rPr>
        <w:t> </w:t>
      </w:r>
      <w:r w:rsidRPr="003A55CF">
        <w:rPr>
          <w:rFonts w:asciiTheme="minorHAnsi" w:hAnsiTheme="minorHAnsi" w:cstheme="minorHAnsi"/>
          <w:color w:val="212121"/>
        </w:rPr>
        <w:t>następującego zakresu tematycznego:</w:t>
      </w:r>
    </w:p>
    <w:p w14:paraId="59A19EE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8594DF9" w14:textId="1FFDCCDB" w:rsidR="005D742C" w:rsidRPr="00266B84" w:rsidRDefault="005D742C" w:rsidP="003A55C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b w:val="0"/>
          <w:color w:val="212121"/>
        </w:rPr>
      </w:pPr>
      <w:r w:rsidRPr="00266B84">
        <w:rPr>
          <w:rFonts w:asciiTheme="minorHAnsi" w:hAnsiTheme="minorHAnsi" w:cstheme="minorHAnsi"/>
          <w:b/>
          <w:bCs/>
          <w:color w:val="212121"/>
        </w:rPr>
        <w:t>„</w:t>
      </w:r>
      <w:r w:rsidR="000C612C">
        <w:rPr>
          <w:rFonts w:ascii="Calibri" w:hAnsi="Calibri"/>
          <w:b/>
          <w:iCs/>
        </w:rPr>
        <w:t>Zmiany w zasadach kwalifikowalności wydatków w perspektywie finansowej 2021-27</w:t>
      </w:r>
      <w:r w:rsidR="00DA506E" w:rsidRPr="00266B84">
        <w:rPr>
          <w:rFonts w:asciiTheme="minorHAnsi" w:hAnsiTheme="minorHAnsi" w:cstheme="minorHAnsi"/>
          <w:b/>
          <w:bCs/>
          <w:color w:val="212121"/>
        </w:rPr>
        <w:t>”</w:t>
      </w:r>
    </w:p>
    <w:p w14:paraId="0511055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79062002" w14:textId="77777777" w:rsidR="005D742C" w:rsidRPr="003A55CF" w:rsidRDefault="005D742C" w:rsidP="003A55CF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7B06EB47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537CFB0D" w14:textId="77777777" w:rsidR="005D742C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Proponowany program szkolenia:</w:t>
      </w:r>
    </w:p>
    <w:p w14:paraId="1A7798CF" w14:textId="77777777" w:rsidR="006F225C" w:rsidRDefault="006F225C" w:rsidP="006F225C">
      <w:pPr>
        <w:pStyle w:val="Akapitzlist"/>
        <w:numPr>
          <w:ilvl w:val="0"/>
          <w:numId w:val="25"/>
        </w:numPr>
        <w:contextualSpacing/>
      </w:pPr>
      <w:r>
        <w:t xml:space="preserve">Podstawowe akty prawne i wytyczne. </w:t>
      </w:r>
    </w:p>
    <w:p w14:paraId="792E0EF1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Akty prawne i wytyczne na poziomie UE;</w:t>
      </w:r>
    </w:p>
    <w:p w14:paraId="77003A45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Wytyczne dotyczące kwalifikowalności wydatków w ramach Europejskiego Funduszu Rozwoju Regionalnego, Europejskiego Funduszu Społecznego oraz Funduszu Spójności na lata 2021-2027. Kluczowe zmiany i różnice w podejściu względem poprzedniej perspektywy finansowej.</w:t>
      </w:r>
    </w:p>
    <w:p w14:paraId="5EC859AF" w14:textId="77777777" w:rsidR="006F225C" w:rsidRDefault="006F225C" w:rsidP="006F225C">
      <w:pPr>
        <w:pStyle w:val="Akapitzlist"/>
        <w:numPr>
          <w:ilvl w:val="0"/>
          <w:numId w:val="25"/>
        </w:numPr>
        <w:contextualSpacing/>
      </w:pPr>
      <w:r>
        <w:t>Zmiany w zakresie zasad kwalifikowalności wydatków;</w:t>
      </w:r>
    </w:p>
    <w:p w14:paraId="472568B6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katalogi wydatków kwalifikowalnych i niekwalifikowalnych;</w:t>
      </w:r>
    </w:p>
    <w:p w14:paraId="012EFBAB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nowe zasady kwalifikowania VAT;</w:t>
      </w:r>
    </w:p>
    <w:p w14:paraId="027971AB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koszty pośrednie;</w:t>
      </w:r>
    </w:p>
    <w:p w14:paraId="080A567D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uproszczone metody rozliczania wydatków;</w:t>
      </w:r>
    </w:p>
    <w:p w14:paraId="0FA49C37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personelu projektu i inne koszty osobowe;</w:t>
      </w:r>
    </w:p>
    <w:p w14:paraId="3909A7EB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wkład niepieniężny;</w:t>
      </w:r>
    </w:p>
    <w:p w14:paraId="427BBD1C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wartości niematerialne i prawne;</w:t>
      </w:r>
    </w:p>
    <w:p w14:paraId="2012B3BD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zakup nieruchomości;</w:t>
      </w:r>
    </w:p>
    <w:p w14:paraId="088627F7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rozliczanie leasingu i innych ograniczonych praw rzeczowych w projektach;</w:t>
      </w:r>
    </w:p>
    <w:p w14:paraId="1DB7DB17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projekty grantowe;</w:t>
      </w:r>
    </w:p>
    <w:p w14:paraId="315CC937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trwałości projektów.</w:t>
      </w:r>
    </w:p>
    <w:p w14:paraId="4F9FFDE0" w14:textId="77777777" w:rsidR="006F225C" w:rsidRDefault="006F225C" w:rsidP="006F225C">
      <w:pPr>
        <w:pStyle w:val="Akapitzlist"/>
        <w:numPr>
          <w:ilvl w:val="0"/>
          <w:numId w:val="25"/>
        </w:numPr>
        <w:contextualSpacing/>
      </w:pPr>
      <w:r>
        <w:t>Zamiany w zakresie stosowania zakazu podwójnego finansowania.</w:t>
      </w:r>
    </w:p>
    <w:p w14:paraId="47DB4B5F" w14:textId="77777777" w:rsidR="006F225C" w:rsidRDefault="006F225C" w:rsidP="006F225C">
      <w:pPr>
        <w:pStyle w:val="Akapitzlist"/>
        <w:numPr>
          <w:ilvl w:val="0"/>
          <w:numId w:val="25"/>
        </w:numPr>
        <w:contextualSpacing/>
      </w:pPr>
      <w:r>
        <w:lastRenderedPageBreak/>
        <w:t>System CST2021 i inne systemy wspierające weryfikację kwalifikowalności wydatków (SKANER, E-KONTROLE, ANTYPLAGIATOR, BK2021, kontrole krzyżowe i inne).</w:t>
      </w:r>
    </w:p>
    <w:p w14:paraId="42E762EA" w14:textId="77777777" w:rsidR="006F225C" w:rsidRDefault="006F225C" w:rsidP="006F225C">
      <w:pPr>
        <w:pStyle w:val="Akapitzlist"/>
        <w:numPr>
          <w:ilvl w:val="0"/>
          <w:numId w:val="25"/>
        </w:numPr>
        <w:contextualSpacing/>
      </w:pPr>
      <w:r>
        <w:t>Zmiany w zakresie stosowania zasady konkurencyjności.</w:t>
      </w:r>
    </w:p>
    <w:p w14:paraId="41CA77F6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Ogólne reguły dotyczące stosowania zasady konkurencyjności (terminy, zasady publikacji ogłoszeń);</w:t>
      </w:r>
    </w:p>
    <w:p w14:paraId="0F68E0C0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Wyłączenia od stosowania zasady konkurencyjności;</w:t>
      </w:r>
    </w:p>
    <w:p w14:paraId="4582EB0F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Szczególne zasady konkurencyjności dla projektów badawczo-rozwojowych</w:t>
      </w:r>
    </w:p>
    <w:p w14:paraId="4A8078F6" w14:textId="77777777" w:rsidR="006F225C" w:rsidRDefault="006F225C" w:rsidP="006F225C">
      <w:pPr>
        <w:pStyle w:val="Akapitzlist"/>
        <w:numPr>
          <w:ilvl w:val="0"/>
          <w:numId w:val="26"/>
        </w:numPr>
        <w:contextualSpacing/>
      </w:pPr>
      <w:r>
        <w:t>Dodatkowe wymagania dla wydatków ponoszonych w ramach zamówień publicznych.</w:t>
      </w:r>
    </w:p>
    <w:p w14:paraId="6CD822ED" w14:textId="77777777" w:rsidR="006F225C" w:rsidRPr="003A55CF" w:rsidRDefault="006F225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7CB81017" w14:textId="77777777" w:rsidR="00E8521F" w:rsidRPr="003A55C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1ECFB6FB" w14:textId="77777777" w:rsidR="007801AE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 </w:t>
      </w:r>
      <w:r w:rsidRPr="003A55CF">
        <w:rPr>
          <w:rFonts w:asciiTheme="minorHAnsi" w:hAnsiTheme="minorHAnsi" w:cstheme="minorHAnsi"/>
          <w:b/>
          <w:bCs/>
          <w:color w:val="212121"/>
        </w:rPr>
        <w:t>Co nas interesuje w ramach szkolenia:</w:t>
      </w:r>
    </w:p>
    <w:p w14:paraId="21AB7CF9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AE6225D" w14:textId="77777777" w:rsidR="005D742C" w:rsidRPr="003A55CF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79C135AE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043543A2" w14:textId="02D5A573" w:rsidR="007801AE" w:rsidRPr="005F74EC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z zakresu </w:t>
      </w:r>
      <w:r w:rsidR="006F225C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kwalifikowania wydatków w perspektywie finansowej 2021-27</w:t>
      </w:r>
      <w:r w:rsidR="007801AE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tj. prowadzenie osobiście jako trener w ciągu ostatnich 3 lat przed upływem terminu składania ofert, co najmniej </w:t>
      </w:r>
      <w:r w:rsidR="006F225C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25</w:t>
      </w:r>
      <w:r w:rsidR="007801AE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szkoleń z zakresu </w:t>
      </w:r>
      <w:r w:rsidR="006F225C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kwalifikowania wydatków w perspektywie finansowej 2021-27</w:t>
      </w:r>
      <w:r w:rsidR="003253C6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7801AE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dla co najmniej 10 osobowych grup uczestników</w:t>
      </w:r>
      <w:r w:rsidR="00717301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w tym </w:t>
      </w:r>
      <w:r w:rsidR="006F225C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minimum</w:t>
      </w:r>
      <w:r w:rsidR="00717301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F225C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15</w:t>
      </w:r>
      <w:r w:rsidR="00717301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szkoleń </w:t>
      </w:r>
      <w:r w:rsidR="006F225C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 przeciągu 12 miesięcy przed </w:t>
      </w:r>
      <w:r w:rsidR="00613B6D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upływem terminu składania ofert</w:t>
      </w:r>
      <w:r w:rsidR="00717301" w:rsidRPr="005F74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0A70553A" w14:textId="77777777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2824E77" w14:textId="77777777" w:rsidR="00DD17E7" w:rsidRPr="003A55CF" w:rsidRDefault="00266B84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2C08EE25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6DA4BCC8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63EB3F76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2EE86FB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3BD215A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3A55CF">
        <w:rPr>
          <w:rFonts w:asciiTheme="minorHAnsi" w:hAnsiTheme="minorHAnsi" w:cstheme="minorHAnsi"/>
          <w:color w:val="212121"/>
          <w:u w:val="single"/>
        </w:rPr>
        <w:t>30</w:t>
      </w:r>
      <w:r w:rsidRPr="003A55CF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29B54F31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BABC7F2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78224AC7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lastRenderedPageBreak/>
        <w:t>serwis konferencyjny, kawowy, lunch (lunch dwudaniowy podany w sali restauracyjnej- poza salą szkoleniową).</w:t>
      </w:r>
    </w:p>
    <w:p w14:paraId="569BB984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2F28D54C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E6DCB7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4E4A8E2" w14:textId="77777777" w:rsidR="005D742C" w:rsidRPr="003A55CF" w:rsidRDefault="00B211D3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C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>ena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="005D742C"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55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% (max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0F17AD" w:rsidRPr="003A55CF">
        <w:rPr>
          <w:rStyle w:val="Pogrubienie"/>
          <w:rFonts w:asciiTheme="minorHAnsi" w:hAnsiTheme="minorHAnsi" w:cstheme="minorHAnsi"/>
          <w:color w:val="212121"/>
        </w:rPr>
        <w:t>55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 xml:space="preserve"> pkt);</w:t>
      </w:r>
    </w:p>
    <w:p w14:paraId="332FCEDA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4C1F587D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69927E56" w14:textId="77777777" w:rsidR="005D742C" w:rsidRPr="003A55CF" w:rsidRDefault="005D742C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45</w:t>
      </w:r>
      <w:r w:rsidRPr="003A55CF">
        <w:rPr>
          <w:rFonts w:asciiTheme="minorHAnsi" w:hAnsiTheme="minorHAnsi" w:cstheme="minorHAnsi"/>
          <w:b/>
          <w:bCs/>
          <w:color w:val="212121"/>
        </w:rPr>
        <w:t>% (</w:t>
      </w:r>
      <w:r w:rsidR="000F17AD" w:rsidRPr="003A55CF">
        <w:rPr>
          <w:rFonts w:asciiTheme="minorHAnsi" w:hAnsiTheme="minorHAnsi" w:cstheme="minorHAnsi"/>
          <w:b/>
          <w:bCs/>
        </w:rPr>
        <w:t>max 45</w:t>
      </w:r>
      <w:r w:rsidRPr="003A55CF">
        <w:rPr>
          <w:rFonts w:asciiTheme="minorHAnsi" w:hAnsiTheme="minorHAnsi" w:cstheme="minorHAnsi"/>
          <w:b/>
          <w:bCs/>
        </w:rPr>
        <w:t xml:space="preserve"> pkt)</w:t>
      </w: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0B91B68D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6F225C">
        <w:rPr>
          <w:rStyle w:val="Pogrubienie"/>
          <w:rFonts w:asciiTheme="minorHAnsi" w:hAnsiTheme="minorHAnsi" w:cstheme="minorHAnsi"/>
          <w:color w:val="212121"/>
        </w:rPr>
        <w:t>100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9763F1">
        <w:rPr>
          <w:rStyle w:val="Pogrubienie"/>
          <w:rFonts w:asciiTheme="minorHAnsi" w:hAnsiTheme="minorHAnsi" w:cstheme="minorHAnsi"/>
          <w:color w:val="212121"/>
        </w:rPr>
        <w:t>.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6F225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9</w:t>
      </w:r>
      <w:r w:rsidR="00140D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0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B2128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3FD1A58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8C6F584" w14:textId="1B4AC998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0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6F225C">
        <w:rPr>
          <w:rStyle w:val="Pogrubienie"/>
          <w:rFonts w:asciiTheme="minorHAnsi" w:hAnsiTheme="minorHAnsi" w:cstheme="minorHAnsi"/>
          <w:color w:val="212121"/>
        </w:rPr>
        <w:t>Cztery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szkolenia </w:t>
      </w:r>
      <w:r w:rsidR="006F225C">
        <w:rPr>
          <w:rStyle w:val="Pogrubienie"/>
          <w:rFonts w:asciiTheme="minorHAnsi" w:hAnsiTheme="minorHAnsi" w:cstheme="minorHAnsi"/>
          <w:color w:val="212121"/>
        </w:rPr>
        <w:t>dwudniowe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(</w:t>
      </w:r>
      <w:r w:rsidR="006F225C">
        <w:rPr>
          <w:rStyle w:val="Pogrubienie"/>
          <w:rFonts w:asciiTheme="minorHAnsi" w:hAnsiTheme="minorHAnsi" w:cstheme="minorHAnsi"/>
          <w:color w:val="212121"/>
        </w:rPr>
        <w:t>4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grupy szkoleniowe x </w:t>
      </w:r>
      <w:r w:rsidR="006F225C">
        <w:rPr>
          <w:rStyle w:val="Pogrubienie"/>
          <w:rFonts w:asciiTheme="minorHAnsi" w:hAnsiTheme="minorHAnsi" w:cstheme="minorHAnsi"/>
          <w:color w:val="212121"/>
        </w:rPr>
        <w:t>2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 d</w:t>
      </w:r>
      <w:r w:rsidR="006F225C">
        <w:rPr>
          <w:rStyle w:val="Pogrubienie"/>
          <w:rFonts w:asciiTheme="minorHAnsi" w:hAnsiTheme="minorHAnsi" w:cstheme="minorHAnsi"/>
          <w:color w:val="212121"/>
        </w:rPr>
        <w:t>ni</w:t>
      </w:r>
      <w:r w:rsidR="00140DBC">
        <w:rPr>
          <w:rStyle w:val="Pogrubienie"/>
          <w:rFonts w:asciiTheme="minorHAnsi" w:hAnsiTheme="minorHAnsi" w:cstheme="minorHAnsi"/>
          <w:color w:val="212121"/>
        </w:rPr>
        <w:t xml:space="preserve">) 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6F225C">
        <w:rPr>
          <w:rStyle w:val="Pogrubienie"/>
          <w:rFonts w:asciiTheme="minorHAnsi" w:hAnsiTheme="minorHAnsi" w:cstheme="minorHAnsi"/>
          <w:color w:val="212121"/>
        </w:rPr>
        <w:t xml:space="preserve">           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(Program szkolenia powinien obejmować co najmniej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 w:rsidR="004919B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ych, z trzema przerwami; godzina szkoleniowa = 45 min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6F225C">
        <w:rPr>
          <w:rStyle w:val="Pogrubienie"/>
          <w:rFonts w:asciiTheme="minorHAnsi" w:hAnsiTheme="minorHAnsi" w:cstheme="minorHAnsi"/>
        </w:rPr>
        <w:t>8</w:t>
      </w:r>
      <w:r w:rsidR="00F7436F" w:rsidRPr="003A55CF">
        <w:rPr>
          <w:rStyle w:val="Pogrubienie"/>
          <w:rFonts w:asciiTheme="minorHAnsi" w:hAnsiTheme="minorHAnsi" w:cstheme="minorHAnsi"/>
        </w:rPr>
        <w:t xml:space="preserve"> d</w:t>
      </w:r>
      <w:r w:rsidR="00426724">
        <w:rPr>
          <w:rStyle w:val="Pogrubienie"/>
          <w:rFonts w:asciiTheme="minorHAnsi" w:hAnsiTheme="minorHAnsi" w:cstheme="minorHAnsi"/>
        </w:rPr>
        <w:t>ni</w:t>
      </w:r>
      <w:r w:rsidR="00481874">
        <w:rPr>
          <w:rStyle w:val="Pogrubienie"/>
          <w:rFonts w:asciiTheme="minorHAnsi" w:hAnsiTheme="minorHAnsi" w:cstheme="minorHAnsi"/>
        </w:rPr>
        <w:t xml:space="preserve"> </w:t>
      </w:r>
      <w:r w:rsidR="00F7436F" w:rsidRPr="003A55CF">
        <w:rPr>
          <w:rStyle w:val="Pogrubienie"/>
          <w:rFonts w:asciiTheme="minorHAnsi" w:hAnsiTheme="minorHAnsi" w:cstheme="minorHAnsi"/>
        </w:rPr>
        <w:t>szkoleni</w:t>
      </w:r>
      <w:r w:rsidR="006F225C">
        <w:rPr>
          <w:rStyle w:val="Pogrubienie"/>
          <w:rFonts w:asciiTheme="minorHAnsi" w:hAnsiTheme="minorHAnsi" w:cstheme="minorHAnsi"/>
        </w:rPr>
        <w:t>a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3A006A78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38361D">
        <w:rPr>
          <w:rStyle w:val="Pogrubienie"/>
          <w:rFonts w:asciiTheme="minorHAnsi" w:hAnsiTheme="minorHAnsi" w:cstheme="minorHAnsi"/>
          <w:color w:val="212121"/>
        </w:rPr>
        <w:t>2 listopada  - 15 grudnia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 2023 r.</w:t>
      </w:r>
    </w:p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56CF7E8" w14:textId="12EED782" w:rsidR="005D742C" w:rsidRPr="003A55CF" w:rsidRDefault="005D742C" w:rsidP="00140DB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 xml:space="preserve">Proszę o przesłanie oferty </w:t>
      </w:r>
      <w:r w:rsidR="00140DBC">
        <w:rPr>
          <w:rFonts w:asciiTheme="minorHAnsi" w:hAnsiTheme="minorHAnsi" w:cstheme="minorHAnsi"/>
          <w:color w:val="212121"/>
        </w:rPr>
        <w:t xml:space="preserve">szacunkowej </w:t>
      </w:r>
      <w:r w:rsidRPr="003A55CF">
        <w:rPr>
          <w:rFonts w:asciiTheme="minorHAnsi" w:hAnsiTheme="minorHAnsi" w:cstheme="minorHAnsi"/>
          <w:color w:val="212121"/>
        </w:rPr>
        <w:t>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140DBC">
        <w:rPr>
          <w:rFonts w:asciiTheme="minorHAnsi" w:hAnsiTheme="minorHAnsi" w:cstheme="minorHAnsi"/>
          <w:color w:val="212121"/>
        </w:rPr>
        <w:t>do dnia</w:t>
      </w:r>
      <w:r w:rsidR="00A72708">
        <w:rPr>
          <w:rFonts w:asciiTheme="minorHAnsi" w:hAnsiTheme="minorHAnsi" w:cstheme="minorHAnsi"/>
          <w:color w:val="212121"/>
        </w:rPr>
        <w:t xml:space="preserve"> </w:t>
      </w:r>
      <w:r w:rsidR="00140DBC">
        <w:rPr>
          <w:rFonts w:asciiTheme="minorHAnsi" w:hAnsiTheme="minorHAnsi" w:cstheme="minorHAnsi"/>
          <w:b/>
          <w:bCs/>
          <w:color w:val="212121"/>
        </w:rPr>
        <w:t>2</w:t>
      </w:r>
      <w:r w:rsidR="0038361D">
        <w:rPr>
          <w:rFonts w:asciiTheme="minorHAnsi" w:hAnsiTheme="minorHAnsi" w:cstheme="minorHAnsi"/>
          <w:b/>
          <w:bCs/>
          <w:color w:val="212121"/>
        </w:rPr>
        <w:t>9</w:t>
      </w:r>
      <w:r w:rsidR="00A72708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38361D">
        <w:rPr>
          <w:rFonts w:asciiTheme="minorHAnsi" w:hAnsiTheme="minorHAnsi" w:cstheme="minorHAnsi"/>
          <w:b/>
          <w:bCs/>
          <w:color w:val="212121"/>
        </w:rPr>
        <w:t>września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3 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81874">
        <w:rPr>
          <w:rStyle w:val="Pogrubienie"/>
          <w:rFonts w:asciiTheme="minorHAnsi" w:hAnsiTheme="minorHAnsi" w:cstheme="minorHAnsi"/>
          <w:color w:val="212121"/>
        </w:rPr>
        <w:t>.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38361D">
        <w:rPr>
          <w:rStyle w:val="Pogrubienie"/>
          <w:rFonts w:asciiTheme="minorHAnsi" w:hAnsiTheme="minorHAnsi" w:cstheme="minorHAnsi"/>
          <w:color w:val="212121"/>
        </w:rPr>
        <w:t>Perspektywa finansowa 2021-27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0"/>
    <w:p w14:paraId="206F5A5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AE8C9DD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134C348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6D87DFD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lastRenderedPageBreak/>
        <w:t>Szkolenie jest finansowane w całości ze środków publicznych, stanowi element kształcenia zawodowego.</w:t>
      </w:r>
    </w:p>
    <w:p w14:paraId="10A3B2F9" w14:textId="77777777" w:rsidR="005D742C" w:rsidRPr="003A55CF" w:rsidRDefault="005D742C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15A8D6" w14:textId="77777777" w:rsidR="00185A7E" w:rsidRPr="003A55CF" w:rsidRDefault="00185A7E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40D95"/>
    <w:multiLevelType w:val="hybridMultilevel"/>
    <w:tmpl w:val="66B0E788"/>
    <w:lvl w:ilvl="0" w:tplc="4C6E7F7E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B0F5A34"/>
    <w:multiLevelType w:val="hybridMultilevel"/>
    <w:tmpl w:val="B67646B2"/>
    <w:lvl w:ilvl="0" w:tplc="68608B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17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2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17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15"/>
  </w:num>
  <w:num w:numId="15" w16cid:durableId="1610771716">
    <w:abstractNumId w:val="13"/>
  </w:num>
  <w:num w:numId="16" w16cid:durableId="1581258778">
    <w:abstractNumId w:val="2"/>
  </w:num>
  <w:num w:numId="17" w16cid:durableId="2136872593">
    <w:abstractNumId w:val="20"/>
  </w:num>
  <w:num w:numId="18" w16cid:durableId="914054673">
    <w:abstractNumId w:val="7"/>
  </w:num>
  <w:num w:numId="19" w16cid:durableId="1432044109">
    <w:abstractNumId w:val="10"/>
  </w:num>
  <w:num w:numId="20" w16cid:durableId="777262101">
    <w:abstractNumId w:val="3"/>
  </w:num>
  <w:num w:numId="21" w16cid:durableId="284164984">
    <w:abstractNumId w:val="16"/>
  </w:num>
  <w:num w:numId="22" w16cid:durableId="877400409">
    <w:abstractNumId w:val="8"/>
  </w:num>
  <w:num w:numId="23" w16cid:durableId="1460949115">
    <w:abstractNumId w:val="18"/>
  </w:num>
  <w:num w:numId="24" w16cid:durableId="1829205950">
    <w:abstractNumId w:val="19"/>
  </w:num>
  <w:num w:numId="25" w16cid:durableId="1981500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44056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12C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51813"/>
    <w:rsid w:val="0038361D"/>
    <w:rsid w:val="003979D9"/>
    <w:rsid w:val="003A06A6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5F74EC"/>
    <w:rsid w:val="006126FC"/>
    <w:rsid w:val="00613B6D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6F225C"/>
    <w:rsid w:val="00717301"/>
    <w:rsid w:val="00727869"/>
    <w:rsid w:val="00736290"/>
    <w:rsid w:val="007801AE"/>
    <w:rsid w:val="007869DB"/>
    <w:rsid w:val="007A588B"/>
    <w:rsid w:val="007E77E3"/>
    <w:rsid w:val="007F321E"/>
    <w:rsid w:val="007F41A0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74190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D3A59"/>
    <w:rsid w:val="00BE3A09"/>
    <w:rsid w:val="00BF18C4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960EF"/>
    <w:rsid w:val="00DA506E"/>
    <w:rsid w:val="00DD17E7"/>
    <w:rsid w:val="00DD6CF7"/>
    <w:rsid w:val="00DE17EF"/>
    <w:rsid w:val="00DE1970"/>
    <w:rsid w:val="00E169F1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7</cp:revision>
  <cp:lastPrinted>2018-02-09T11:27:00Z</cp:lastPrinted>
  <dcterms:created xsi:type="dcterms:W3CDTF">2023-03-03T09:49:00Z</dcterms:created>
  <dcterms:modified xsi:type="dcterms:W3CDTF">2023-09-26T08:37:00Z</dcterms:modified>
</cp:coreProperties>
</file>