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145660739"/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3FC63E7C" w14:textId="77777777" w:rsidR="006C2659" w:rsidRDefault="006C2659" w:rsidP="006C2659">
      <w:pPr>
        <w:jc w:val="center"/>
        <w:rPr>
          <w:b/>
          <w:bCs/>
        </w:rPr>
      </w:pPr>
      <w:r>
        <w:rPr>
          <w:b/>
          <w:bCs/>
        </w:rPr>
        <w:t>„</w:t>
      </w:r>
      <w:r w:rsidRPr="002916CE">
        <w:rPr>
          <w:rFonts w:asciiTheme="minorHAnsi" w:hAnsiTheme="minorHAnsi" w:cstheme="minorHAnsi"/>
          <w:b/>
          <w:bCs/>
          <w:color w:val="212121"/>
        </w:rPr>
        <w:t>Pomoc publiczna  na podstawie GBER oraz  pomoc de minimis w okresie programowania 2021-2027 – modernizacja przepisów</w:t>
      </w:r>
      <w:r>
        <w:rPr>
          <w:b/>
          <w:bCs/>
        </w:rPr>
        <w:t>”</w:t>
      </w:r>
    </w:p>
    <w:p w14:paraId="3357F9AF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bookmarkEnd w:id="0"/>
    <w:p w14:paraId="7C742AEA" w14:textId="77777777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11271DC" w14:textId="39869E50" w:rsidR="006C2659" w:rsidRDefault="006C2659" w:rsidP="006C2659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5C636902" w14:textId="77777777" w:rsidR="006C2659" w:rsidRPr="006D626D" w:rsidRDefault="006C2659" w:rsidP="006C2659">
      <w:pPr>
        <w:spacing w:before="100" w:beforeAutospacing="1"/>
        <w:rPr>
          <w:rFonts w:asciiTheme="minorHAnsi" w:hAnsiTheme="minorHAnsi" w:cstheme="minorHAnsi"/>
          <w:b/>
          <w:bCs/>
          <w:color w:val="212121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Dzień 1:</w:t>
      </w:r>
    </w:p>
    <w:p w14:paraId="6CC068A3" w14:textId="77777777" w:rsidR="006C2659" w:rsidRPr="00A41341" w:rsidRDefault="006C2659" w:rsidP="006C2659">
      <w:pPr>
        <w:rPr>
          <w:rFonts w:asciiTheme="minorHAnsi" w:hAnsiTheme="minorHAnsi" w:cstheme="minorHAnsi"/>
          <w:color w:val="212529"/>
          <w:sz w:val="24"/>
          <w:szCs w:val="24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1. Pomoc publiczna przewidziana w GBER</w:t>
      </w:r>
      <w:r w:rsidRPr="00A41341">
        <w:rPr>
          <w:rFonts w:asciiTheme="minorHAnsi" w:hAnsiTheme="minorHAnsi" w:cstheme="minorHAnsi"/>
          <w:b/>
          <w:color w:val="212529"/>
          <w:sz w:val="24"/>
          <w:szCs w:val="24"/>
        </w:rPr>
        <w:t xml:space="preserve"> </w:t>
      </w:r>
      <w:r w:rsidRPr="00A41341">
        <w:rPr>
          <w:rFonts w:asciiTheme="minorHAnsi" w:hAnsiTheme="minorHAnsi" w:cstheme="minorHAnsi"/>
          <w:color w:val="212529"/>
          <w:sz w:val="24"/>
          <w:szCs w:val="24"/>
        </w:rPr>
        <w:t>– zakres stosowania, kumulacja pomocy, dopuszczalna  intensywność pomocy,  koszty kwalifikowane,  definicje mające zastosowanie dla poszczególnych kategorii pomocy, zmiany przepisów w porównaniu do perspektywy 2014-2020</w:t>
      </w:r>
      <w:r w:rsidRPr="00A41341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2C7B192C" w14:textId="77777777" w:rsidR="006C2659" w:rsidRPr="00A41341" w:rsidRDefault="006C2659" w:rsidP="006C2659">
      <w:pPr>
        <w:numPr>
          <w:ilvl w:val="0"/>
          <w:numId w:val="25"/>
        </w:numPr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333333"/>
          <w:sz w:val="24"/>
          <w:szCs w:val="24"/>
        </w:rPr>
        <w:t>regionalna pomoc inwestycyjna</w:t>
      </w:r>
      <w:r w:rsidRPr="00A41341">
        <w:rPr>
          <w:rFonts w:asciiTheme="minorHAnsi" w:hAnsiTheme="minorHAnsi" w:cstheme="minorHAnsi"/>
          <w:color w:val="212529"/>
          <w:sz w:val="24"/>
          <w:szCs w:val="24"/>
        </w:rPr>
        <w:t>;</w:t>
      </w:r>
    </w:p>
    <w:p w14:paraId="09816C74" w14:textId="77777777" w:rsidR="006C2659" w:rsidRPr="00A41341" w:rsidRDefault="006C2659" w:rsidP="006C2659">
      <w:pPr>
        <w:numPr>
          <w:ilvl w:val="0"/>
          <w:numId w:val="25"/>
        </w:numPr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pomoc inwestycyjna na projekty badawczo-rozwojowe;</w:t>
      </w:r>
    </w:p>
    <w:p w14:paraId="452A4BD9" w14:textId="77777777" w:rsidR="006C2659" w:rsidRPr="00A41341" w:rsidRDefault="006C2659" w:rsidP="006C2659">
      <w:pPr>
        <w:numPr>
          <w:ilvl w:val="0"/>
          <w:numId w:val="25"/>
        </w:numPr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pomoc inwestycyjna na infrastrukturę badawczą oraz na infrastrukturę  testowo-doświadczalną;</w:t>
      </w:r>
    </w:p>
    <w:p w14:paraId="02AC9608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ochronę środowiska, w tym obniżenie emisyjności; </w:t>
      </w:r>
    </w:p>
    <w:p w14:paraId="32046E59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infrastrukturę ładowania lub tankowania; </w:t>
      </w:r>
    </w:p>
    <w:p w14:paraId="6F0A2413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zakup pojazdów ekologicznie czystych lub pojazdów </w:t>
      </w:r>
      <w:proofErr w:type="spellStart"/>
      <w:r w:rsidRPr="00A41341">
        <w:rPr>
          <w:rFonts w:asciiTheme="minorHAnsi" w:hAnsiTheme="minorHAnsi" w:cstheme="minorHAnsi"/>
          <w:color w:val="212529"/>
          <w:sz w:val="24"/>
          <w:szCs w:val="24"/>
        </w:rPr>
        <w:t>bezemisyjnych</w:t>
      </w:r>
      <w:proofErr w:type="spellEnd"/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 oraz na doposażenie pojazdów; </w:t>
      </w:r>
    </w:p>
    <w:p w14:paraId="7316D247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środki wspierające  efektywność energetyczną inną niż w budynkach; </w:t>
      </w:r>
    </w:p>
    <w:p w14:paraId="4D8DE4DB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środki wspierające efektywność energetyczną w budynkach: </w:t>
      </w:r>
    </w:p>
    <w:p w14:paraId="57917129" w14:textId="77777777" w:rsidR="006C2659" w:rsidRPr="00A41341" w:rsidRDefault="006C2659" w:rsidP="006C2659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propagowanie energii ze źródeł odnawialnych, propagowanie wodoru odnawialnego i wysokosprawnej kogeneracji; </w:t>
      </w:r>
    </w:p>
    <w:p w14:paraId="01AF164D" w14:textId="77777777" w:rsidR="006C2659" w:rsidRPr="00A41341" w:rsidRDefault="006C2659" w:rsidP="006C265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</w:t>
      </w:r>
      <w:proofErr w:type="spellStart"/>
      <w:r w:rsidRPr="00A41341">
        <w:rPr>
          <w:rFonts w:asciiTheme="minorHAnsi" w:hAnsiTheme="minorHAnsi" w:cstheme="minorHAnsi"/>
          <w:color w:val="212529"/>
          <w:sz w:val="24"/>
          <w:szCs w:val="24"/>
        </w:rPr>
        <w:t>remediację</w:t>
      </w:r>
      <w:proofErr w:type="spellEnd"/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 szkód wyrządzonych środowisku, rekultywację siedlisk przyrodniczych i ekosystemów, ochronę lub odbudowę bioróżnorodności i wdrażanie rozwiązań opartych na zasobach przyrody w celu łagodzenia zmiany klimatu i przystosowania się do niej; </w:t>
      </w:r>
    </w:p>
    <w:p w14:paraId="34F74ABC" w14:textId="77777777" w:rsidR="006C2659" w:rsidRPr="00A41341" w:rsidRDefault="006C2659" w:rsidP="006C265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efektywny energetycznie system ciepłowniczy lub chłodniczy; </w:t>
      </w:r>
    </w:p>
    <w:p w14:paraId="0DFAE213" w14:textId="77777777" w:rsidR="006C2659" w:rsidRPr="00A41341" w:rsidRDefault="006C2659" w:rsidP="006C2659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 xml:space="preserve">pomoc inwestycyjna na efektywne gospodarowanie zasobami i wspieranie przechodzenia na gospodarkę o obiegu zamkniętym; </w:t>
      </w:r>
    </w:p>
    <w:p w14:paraId="6CBF99DD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pomoc inwestycyjna na infrastrukturę energetyczną;</w:t>
      </w:r>
    </w:p>
    <w:p w14:paraId="0D7E9E83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pomoc na kulturę i zachowanie dziedzictwa kulturowego;</w:t>
      </w:r>
    </w:p>
    <w:p w14:paraId="4D93B85E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pomoc na infrastrukturę sportową i wielofunkcyjną infrastrukturę rekreacyjną;</w:t>
      </w:r>
    </w:p>
    <w:p w14:paraId="3714D181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lastRenderedPageBreak/>
        <w:t>pomoc inwestycyjna na infrastrukturę lokalną</w:t>
      </w:r>
      <w:r>
        <w:rPr>
          <w:rFonts w:asciiTheme="minorHAnsi" w:hAnsiTheme="minorHAnsi" w:cstheme="minorHAnsi"/>
          <w:color w:val="212529"/>
          <w:sz w:val="24"/>
          <w:szCs w:val="24"/>
        </w:rPr>
        <w:t>.</w:t>
      </w:r>
    </w:p>
    <w:p w14:paraId="34B61629" w14:textId="77777777" w:rsidR="006C2659" w:rsidRPr="00A41341" w:rsidRDefault="006C2659" w:rsidP="006C2659">
      <w:pPr>
        <w:spacing w:before="100" w:beforeAutospacing="1"/>
        <w:rPr>
          <w:rFonts w:asciiTheme="minorHAnsi" w:hAnsiTheme="minorHAnsi" w:cstheme="minorHAnsi"/>
          <w:b/>
          <w:color w:val="212529"/>
          <w:sz w:val="24"/>
          <w:szCs w:val="24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2. Wpływ sytuacji ekonomicznej podmiotu na możliwość uzyskania pomocy publicznej</w:t>
      </w:r>
    </w:p>
    <w:p w14:paraId="487CE3A2" w14:textId="77777777" w:rsidR="006C2659" w:rsidRPr="00A93409" w:rsidRDefault="006C2659" w:rsidP="006C2659">
      <w:pPr>
        <w:pStyle w:val="Akapitzlist"/>
        <w:numPr>
          <w:ilvl w:val="0"/>
          <w:numId w:val="27"/>
        </w:numPr>
        <w:spacing w:before="100" w:beforeAutospacing="1"/>
        <w:contextualSpacing/>
        <w:rPr>
          <w:rFonts w:asciiTheme="minorHAnsi" w:hAnsiTheme="minorHAnsi" w:cstheme="minorHAnsi"/>
          <w:b/>
          <w:color w:val="212529"/>
          <w:sz w:val="24"/>
          <w:szCs w:val="24"/>
        </w:rPr>
      </w:pPr>
      <w:r w:rsidRPr="00A93409">
        <w:rPr>
          <w:rFonts w:asciiTheme="minorHAnsi" w:hAnsiTheme="minorHAnsi" w:cstheme="minorHAnsi"/>
          <w:color w:val="212529"/>
          <w:sz w:val="24"/>
          <w:szCs w:val="24"/>
        </w:rPr>
        <w:t>definicja przedsiębiorstwa znajdującego się w trudnej sytuacji,  zmiany w porównaniu z perspektywą 2014-2020, wskaźniki,  dane oraz dokumenty finansowe niezbędne do przeprowadzenia oceny, przeznaczenia pomocy publicznej zwolnione z  obowiązku oceny sytuacji ekonomicznej podmiotu wnioskującego o pomoc, ocena sytuacji ekonomicznej na poziomie grupy przedsiębiorstw, czasookres brany pod uwagę przy ocenie sytuacji ekonomicznej</w:t>
      </w:r>
      <w:r>
        <w:rPr>
          <w:rFonts w:asciiTheme="minorHAnsi" w:hAnsiTheme="minorHAnsi" w:cstheme="minorHAnsi"/>
          <w:color w:val="212529"/>
          <w:sz w:val="24"/>
          <w:szCs w:val="24"/>
        </w:rPr>
        <w:t xml:space="preserve"> podmiotu.</w:t>
      </w:r>
    </w:p>
    <w:p w14:paraId="7A35954A" w14:textId="77777777" w:rsidR="006C2659" w:rsidRPr="006D626D" w:rsidRDefault="006C2659" w:rsidP="006C2659">
      <w:pPr>
        <w:spacing w:before="100" w:beforeAutospacing="1"/>
        <w:rPr>
          <w:rFonts w:asciiTheme="minorHAnsi" w:hAnsiTheme="minorHAnsi" w:cstheme="minorHAnsi"/>
          <w:b/>
          <w:bCs/>
          <w:color w:val="212121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Dzień 2:</w:t>
      </w:r>
    </w:p>
    <w:p w14:paraId="3428177F" w14:textId="77777777" w:rsidR="006C2659" w:rsidRPr="00A41341" w:rsidRDefault="006C2659" w:rsidP="006D626D">
      <w:p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1. Pomoc de minimis</w:t>
      </w:r>
      <w:r w:rsidRPr="00A41341">
        <w:rPr>
          <w:rFonts w:asciiTheme="minorHAnsi" w:hAnsiTheme="minorHAnsi" w:cstheme="minorHAnsi"/>
          <w:b/>
          <w:color w:val="212529"/>
          <w:sz w:val="24"/>
          <w:szCs w:val="24"/>
        </w:rPr>
        <w:t xml:space="preserve"> </w:t>
      </w:r>
      <w:r w:rsidRPr="00A41341">
        <w:rPr>
          <w:rFonts w:asciiTheme="minorHAnsi" w:hAnsiTheme="minorHAnsi" w:cstheme="minorHAnsi"/>
          <w:color w:val="212529"/>
          <w:sz w:val="24"/>
          <w:szCs w:val="24"/>
        </w:rPr>
        <w:t>– zmiany przepisów w porównaniu do rozporządzenia Komisji (UE) nr 1407/2013; zasady kumulacji pomocy de minimis w ramach „jednego przedsiębiorstwa”</w:t>
      </w:r>
      <w:r w:rsidRPr="00A41341">
        <w:rPr>
          <w:rFonts w:asciiTheme="minorHAnsi" w:hAnsiTheme="minorHAnsi" w:cstheme="minorHAnsi"/>
          <w:color w:val="212529"/>
          <w:sz w:val="24"/>
          <w:szCs w:val="24"/>
        </w:rPr>
        <w:br/>
        <w:t xml:space="preserve"> (w tym rozdrobniona struktura udziałowców i kwestia dominującego wpływu, kumulacja w spółkach cywilnych).</w:t>
      </w:r>
    </w:p>
    <w:p w14:paraId="011A3364" w14:textId="77777777" w:rsidR="006C2659" w:rsidRPr="00A41341" w:rsidRDefault="006C2659" w:rsidP="006C2659">
      <w:p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6D626D">
        <w:rPr>
          <w:rFonts w:asciiTheme="minorHAnsi" w:hAnsiTheme="minorHAnsi" w:cstheme="minorHAnsi"/>
          <w:b/>
          <w:bCs/>
          <w:color w:val="212121"/>
        </w:rPr>
        <w:t>2. Usługi w ogólnym interesie gospodarczym</w:t>
      </w:r>
    </w:p>
    <w:p w14:paraId="6532250B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identyfikacja pomocy publicznej w relacjach  jednostek samorządu terytorialnego z podmiotami zależnymi w różnych obszarach zadań JTS;</w:t>
      </w:r>
    </w:p>
    <w:p w14:paraId="4FC40D29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udzielanie pomocy publicznej w transporcie oraz sektorze gospodarki odpadami (podstawy prawne udzielania pomocy, obliczanie rekompensaty, rozsądny zysk, nadwyżka rekompensaty, ujęcie amortyzacji środków trwałych sfinansowanych ze środków unijnych w kalkulacji rekompensaty);</w:t>
      </w:r>
    </w:p>
    <w:p w14:paraId="2F39ADFF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zamówienia typu „in-</w:t>
      </w:r>
      <w:proofErr w:type="spellStart"/>
      <w:r w:rsidRPr="00A41341">
        <w:rPr>
          <w:rFonts w:asciiTheme="minorHAnsi" w:hAnsiTheme="minorHAnsi" w:cstheme="minorHAnsi"/>
          <w:color w:val="212529"/>
          <w:sz w:val="24"/>
          <w:szCs w:val="24"/>
        </w:rPr>
        <w:t>house</w:t>
      </w:r>
      <w:proofErr w:type="spellEnd"/>
      <w:r w:rsidRPr="00A41341">
        <w:rPr>
          <w:rFonts w:asciiTheme="minorHAnsi" w:hAnsiTheme="minorHAnsi" w:cstheme="minorHAnsi"/>
          <w:color w:val="212529"/>
          <w:sz w:val="24"/>
          <w:szCs w:val="24"/>
        </w:rPr>
        <w:t>”</w:t>
      </w:r>
      <w:r>
        <w:rPr>
          <w:rFonts w:asciiTheme="minorHAnsi" w:hAnsiTheme="minorHAnsi" w:cstheme="minorHAnsi"/>
          <w:color w:val="212529"/>
          <w:sz w:val="24"/>
          <w:szCs w:val="24"/>
        </w:rPr>
        <w:t>;</w:t>
      </w:r>
    </w:p>
    <w:p w14:paraId="52D4C9C8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dopuszczalność zmian w umowie o świadczenie usług publicznych (w tym w kontekście obowiązków wynikających z realizacji projektów dofinansowanych z funduszy UE, w których dofinansowanie stanowi element rekompensaty)</w:t>
      </w:r>
      <w:r>
        <w:rPr>
          <w:rFonts w:asciiTheme="minorHAnsi" w:hAnsiTheme="minorHAnsi" w:cstheme="minorHAnsi"/>
          <w:color w:val="212529"/>
          <w:sz w:val="24"/>
          <w:szCs w:val="24"/>
        </w:rPr>
        <w:t>;</w:t>
      </w:r>
    </w:p>
    <w:p w14:paraId="484DD5B2" w14:textId="77777777" w:rsidR="006C2659" w:rsidRPr="00A41341" w:rsidRDefault="006C2659" w:rsidP="006C2659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A41341">
        <w:rPr>
          <w:rFonts w:asciiTheme="minorHAnsi" w:hAnsiTheme="minorHAnsi" w:cstheme="minorHAnsi"/>
          <w:color w:val="212529"/>
          <w:sz w:val="24"/>
          <w:szCs w:val="24"/>
        </w:rPr>
        <w:t>projekty z rekompensatą w kontekście pomocy publicznej na tzw. drugim poziomie</w:t>
      </w:r>
      <w:r>
        <w:rPr>
          <w:rFonts w:asciiTheme="minorHAnsi" w:hAnsiTheme="minorHAnsi" w:cstheme="minorHAnsi"/>
          <w:color w:val="212529"/>
          <w:sz w:val="24"/>
          <w:szCs w:val="24"/>
        </w:rPr>
        <w:t>.</w:t>
      </w: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670A917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0B13D324" w14:textId="77777777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1297C241" w14:textId="77777777" w:rsidR="006D2ADE" w:rsidRPr="003A55CF" w:rsidRDefault="006D2ADE" w:rsidP="006D2ADE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pomocy publicznej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0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pomocy publicznej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6303F79A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2A3EAD6E" w14:textId="77777777" w:rsidR="006D2ADE" w:rsidRPr="003A55CF" w:rsidRDefault="006D2ADE" w:rsidP="006D2AD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Zamawiającemu.</w:t>
      </w:r>
    </w:p>
    <w:p w14:paraId="419030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 xml:space="preserve">przygotowanie i wręczenie pracownikom dyplomów ukończenia szkolenia (certyfikatów) w formie papierowej oraz przesłanie kopii Zamawiającemu. </w:t>
      </w:r>
    </w:p>
    <w:p w14:paraId="53A81CE9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7369FC18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3F922A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47B4075C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608B3D52" w14:textId="77777777" w:rsidR="006D2ADE" w:rsidRPr="003A55CF" w:rsidRDefault="006D2ADE" w:rsidP="006D2AD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58BC5804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4C897A81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12D73AA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57BB2190" w14:textId="77777777" w:rsidR="006D2ADE" w:rsidRPr="003A55CF" w:rsidRDefault="006D2ADE" w:rsidP="006D2ADE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6D626D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6D626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22974504" w14:textId="77777777" w:rsidR="006C2659" w:rsidRPr="00FA656E" w:rsidRDefault="006C2659" w:rsidP="006C2659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Doświadczenie trenera -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="Calibri" w:eastAsia="Calibri" w:hAnsi="Calibri" w:cs="Calibri"/>
          <w:sz w:val="22"/>
          <w:szCs w:val="22"/>
          <w:lang w:eastAsia="ar-SA"/>
        </w:rPr>
        <w:t>liczba przeprowadzonych szkoleń przez wskazanego trenera</w:t>
      </w:r>
      <w:r w:rsidRPr="00FA656E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FA656E">
        <w:rPr>
          <w:rFonts w:asciiTheme="minorHAnsi" w:hAnsiTheme="minorHAnsi" w:cstheme="minorHAnsi"/>
          <w:sz w:val="22"/>
          <w:szCs w:val="22"/>
        </w:rPr>
        <w:t> –</w:t>
      </w:r>
      <w:r w:rsidRPr="00FA65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FA656E">
        <w:rPr>
          <w:rFonts w:asciiTheme="minorHAnsi" w:eastAsia="Calibri" w:hAnsiTheme="minorHAnsi" w:cstheme="minorHAnsi"/>
          <w:b/>
          <w:color w:val="212121"/>
          <w:sz w:val="22"/>
          <w:szCs w:val="22"/>
          <w:lang w:eastAsia="ar-SA"/>
        </w:rPr>
        <w:t>waga 45% (max 45 pkt)</w:t>
      </w:r>
    </w:p>
    <w:p w14:paraId="203F6640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bCs/>
          <w:color w:val="212121"/>
        </w:rPr>
      </w:pPr>
    </w:p>
    <w:p w14:paraId="3B4256C7" w14:textId="77777777" w:rsidR="006C2659" w:rsidRPr="009438AC" w:rsidRDefault="006C2659" w:rsidP="006C2659">
      <w:pPr>
        <w:ind w:left="708"/>
        <w:jc w:val="both"/>
        <w:rPr>
          <w:rFonts w:eastAsia="Calibri"/>
          <w:lang w:eastAsia="ar-SA"/>
        </w:rPr>
      </w:pPr>
      <w:r w:rsidRPr="009438AC">
        <w:rPr>
          <w:rFonts w:eastAsia="Calibri"/>
          <w:lang w:eastAsia="ar-SA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B07EC9A" w14:textId="77777777" w:rsidR="006C2659" w:rsidRPr="00CD1681" w:rsidRDefault="006C2659" w:rsidP="006C2659">
      <w:pPr>
        <w:ind w:left="708"/>
        <w:jc w:val="both"/>
        <w:rPr>
          <w:rFonts w:asciiTheme="minorHAnsi" w:hAnsiTheme="minorHAnsi" w:cstheme="minorHAnsi"/>
          <w:bCs/>
          <w:color w:val="212121"/>
        </w:rPr>
      </w:pPr>
    </w:p>
    <w:p w14:paraId="7A0CC7C1" w14:textId="77777777" w:rsidR="006C2659" w:rsidRPr="00CD1681" w:rsidRDefault="006C2659" w:rsidP="006C2659">
      <w:pPr>
        <w:ind w:left="360"/>
        <w:jc w:val="center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CD1681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CD1681">
        <w:rPr>
          <w:rFonts w:asciiTheme="minorHAnsi" w:hAnsiTheme="minorHAnsi" w:cstheme="minorHAnsi"/>
          <w:b/>
          <w:bCs/>
          <w:color w:val="212121"/>
        </w:rPr>
        <w:t>) x 45</w:t>
      </w:r>
    </w:p>
    <w:p w14:paraId="57582209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gdzie:</w:t>
      </w:r>
    </w:p>
    <w:p w14:paraId="6B1E94E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t>D – liczba punktów przyznana badanej ofercie</w:t>
      </w:r>
    </w:p>
    <w:p w14:paraId="0F432F66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r w:rsidRPr="00CD1681">
        <w:rPr>
          <w:bCs/>
          <w:color w:val="212121"/>
          <w:sz w:val="18"/>
          <w:szCs w:val="18"/>
        </w:rPr>
        <w:lastRenderedPageBreak/>
        <w:t>D max – najwyższa liczba punktów przyznana trenerowi spośród ważnych ofert</w:t>
      </w:r>
    </w:p>
    <w:p w14:paraId="1F7E08A4" w14:textId="77777777" w:rsidR="006C2659" w:rsidRPr="00CD1681" w:rsidRDefault="006C2659" w:rsidP="006C2659">
      <w:pPr>
        <w:ind w:left="720" w:firstLine="360"/>
        <w:jc w:val="both"/>
        <w:rPr>
          <w:bCs/>
          <w:color w:val="212121"/>
          <w:sz w:val="18"/>
          <w:szCs w:val="18"/>
        </w:rPr>
      </w:pPr>
      <w:proofErr w:type="spellStart"/>
      <w:r w:rsidRPr="00CD1681">
        <w:rPr>
          <w:bCs/>
          <w:color w:val="212121"/>
          <w:sz w:val="18"/>
          <w:szCs w:val="18"/>
        </w:rPr>
        <w:t>D</w:t>
      </w:r>
      <w:r w:rsidRPr="00CD1681">
        <w:rPr>
          <w:bCs/>
          <w:color w:val="212121"/>
          <w:sz w:val="16"/>
          <w:szCs w:val="16"/>
        </w:rPr>
        <w:t>x</w:t>
      </w:r>
      <w:proofErr w:type="spellEnd"/>
      <w:r w:rsidRPr="00CD1681">
        <w:rPr>
          <w:bCs/>
          <w:color w:val="212121"/>
          <w:sz w:val="16"/>
          <w:szCs w:val="16"/>
        </w:rPr>
        <w:t xml:space="preserve"> - </w:t>
      </w:r>
      <w:r w:rsidRPr="00CD1681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411E31FA" w14:textId="77777777" w:rsidR="006C2659" w:rsidRPr="00CD1681" w:rsidRDefault="006C2659" w:rsidP="006C2659">
      <w:pPr>
        <w:ind w:left="720"/>
        <w:jc w:val="both"/>
        <w:rPr>
          <w:rFonts w:asciiTheme="minorHAnsi" w:hAnsiTheme="minorHAnsi" w:cstheme="minorHAnsi"/>
          <w:color w:val="212121"/>
        </w:rPr>
      </w:pPr>
    </w:p>
    <w:p w14:paraId="3E7018B7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Wykonawca może otrzymać maksymalnie 100 punktów liczonych jako suma punktów przyznanych w kryterium:</w:t>
      </w:r>
    </w:p>
    <w:p w14:paraId="6D70F69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 xml:space="preserve">1) cena przeprowadzenia szkolenia  i 2) doświadczenie trenera. </w:t>
      </w:r>
    </w:p>
    <w:p w14:paraId="21B14EC9" w14:textId="77777777" w:rsidR="006C2659" w:rsidRPr="009438AC" w:rsidRDefault="006C2659" w:rsidP="006C2659">
      <w:pPr>
        <w:ind w:left="360"/>
        <w:jc w:val="both"/>
        <w:rPr>
          <w:rFonts w:asciiTheme="minorHAnsi" w:eastAsia="Calibri" w:hAnsiTheme="minorHAnsi" w:cstheme="minorHAnsi"/>
          <w:b/>
          <w:color w:val="212121"/>
          <w:lang w:eastAsia="ar-SA"/>
        </w:rPr>
      </w:pPr>
      <w:r w:rsidRPr="009438AC">
        <w:rPr>
          <w:rFonts w:asciiTheme="minorHAnsi" w:eastAsia="Calibri" w:hAnsiTheme="minorHAnsi" w:cstheme="minorHAnsi"/>
          <w:b/>
          <w:color w:val="212121"/>
          <w:lang w:eastAsia="ar-SA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1C7A6207" w14:textId="0DDCA2D5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  <w:bookmarkStart w:id="1" w:name="_Hlk145660750"/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57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ób.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Minimalna liczba uczestników zagwarantowana przez Zamawiającego wynosi 50 osób.</w:t>
      </w:r>
    </w:p>
    <w:p w14:paraId="1E0F6855" w14:textId="77777777" w:rsidR="006C2659" w:rsidRDefault="006C2659" w:rsidP="006C2659">
      <w:pPr>
        <w:pStyle w:val="NormalnyWeb"/>
        <w:jc w:val="both"/>
        <w:rPr>
          <w:rStyle w:val="Pogrubienie"/>
          <w:b w:val="0"/>
          <w:bCs w:val="0"/>
        </w:rPr>
      </w:pPr>
    </w:p>
    <w:p w14:paraId="50224AC9" w14:textId="77777777" w:rsidR="006C2659" w:rsidRPr="00F44D93" w:rsidRDefault="006C2659" w:rsidP="006C2659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 w:rsidRPr="00F44D93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 Trzy szkolenia dwudniowe (3 grupy szkoleniowe x 2 dni)  (Program szkolenia powinien obejmować co najmniej 8 godzin szkoleniowych, z trzema przerwami; godzina szkoleniowa = 45 min), czyli łącznie 6 dni szkoleniowych.</w:t>
      </w:r>
    </w:p>
    <w:p w14:paraId="4E9BECEA" w14:textId="77777777" w:rsidR="006C2659" w:rsidRPr="003A55CF" w:rsidRDefault="006C2659" w:rsidP="006C2659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EDCBC6D" w14:textId="2A4CEF61" w:rsidR="006C2659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F44D93">
        <w:rPr>
          <w:rStyle w:val="Pogrubienie"/>
          <w:rFonts w:ascii="Calibri" w:hAnsi="Calibri" w:cs="Calibri"/>
          <w:sz w:val="22"/>
          <w:szCs w:val="22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0F73A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1 października - </w:t>
      </w:r>
      <w:r w:rsidRPr="00F44D93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31 października 2023 r.</w:t>
      </w:r>
    </w:p>
    <w:p w14:paraId="4E3C04A6" w14:textId="77777777" w:rsidR="00E27F55" w:rsidRDefault="00E27F55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B1D3F5D" w14:textId="4EB93EC1" w:rsidR="00E27F55" w:rsidRPr="001718C7" w:rsidRDefault="00E27F55" w:rsidP="00E27F55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2" w:name="_Hlk120013663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Pr="00E27F55">
        <w:rPr>
          <w:rFonts w:asciiTheme="minorHAnsi" w:hAnsiTheme="minorHAnsi" w:cstheme="minorHAnsi"/>
          <w:b/>
          <w:bCs/>
          <w:sz w:val="22"/>
          <w:szCs w:val="22"/>
        </w:rPr>
        <w:t>25 września</w:t>
      </w:r>
      <w:r w:rsidRPr="00E27F55">
        <w:rPr>
          <w:rFonts w:asciiTheme="minorHAnsi" w:hAnsiTheme="minorHAnsi" w:cstheme="minorHAnsi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C00B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do godziny 9.00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Pomoc publiczna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2"/>
    <w:bookmarkEnd w:id="1"/>
    <w:p w14:paraId="05357F43" w14:textId="77777777" w:rsidR="006C2659" w:rsidRPr="003A55CF" w:rsidRDefault="006C2659" w:rsidP="006C2659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705FE2C3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Proszę o określenie w ofercie jednostkowego kosztu udziału w szkoleniu</w:t>
      </w:r>
      <w:r w:rsidRPr="003B77BC"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 w:rsidRPr="003B77BC">
        <w:rPr>
          <w:rStyle w:val="Pogrubienie"/>
          <w:rFonts w:ascii="Calibri" w:hAnsi="Calibri"/>
          <w:color w:val="000000"/>
          <w:sz w:val="22"/>
          <w:szCs w:val="22"/>
        </w:rPr>
        <w:t>łącznego kosztu szkolenia</w:t>
      </w:r>
      <w:r w:rsidRPr="003B77BC"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98B403D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E2C1F21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DB30CF4" w14:textId="77777777" w:rsidR="006C2659" w:rsidRPr="003B77BC" w:rsidRDefault="006C2659" w:rsidP="006C2659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3B77BC">
        <w:rPr>
          <w:rStyle w:val="Pogrubienie"/>
          <w:rFonts w:ascii="Calibri" w:hAnsi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904CFEC" w14:textId="77777777" w:rsidR="006C2659" w:rsidRDefault="006C2659" w:rsidP="006C2659">
      <w:pPr>
        <w:pStyle w:val="NormalnyWeb"/>
        <w:jc w:val="both"/>
        <w:rPr>
          <w:rStyle w:val="Pogrubienie"/>
        </w:rPr>
      </w:pPr>
    </w:p>
    <w:p w14:paraId="08A95E10" w14:textId="77777777" w:rsidR="006C2659" w:rsidRPr="00AE7E78" w:rsidRDefault="006C2659" w:rsidP="006C2659">
      <w:pPr>
        <w:jc w:val="both"/>
      </w:pPr>
    </w:p>
    <w:p w14:paraId="648A50AB" w14:textId="77777777" w:rsidR="006C2659" w:rsidRPr="009B24B5" w:rsidRDefault="006C2659" w:rsidP="006C2659">
      <w:pPr>
        <w:pStyle w:val="NormalnyWeb"/>
        <w:jc w:val="both"/>
        <w:rPr>
          <w:rFonts w:asciiTheme="minorHAnsi" w:hAnsiTheme="minorHAnsi" w:cstheme="minorHAnsi"/>
          <w:i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sectPr w:rsidR="005D742C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8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3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8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6"/>
  </w:num>
  <w:num w:numId="15" w16cid:durableId="1610771716">
    <w:abstractNumId w:val="15"/>
  </w:num>
  <w:num w:numId="16" w16cid:durableId="1581258778">
    <w:abstractNumId w:val="2"/>
  </w:num>
  <w:num w:numId="17" w16cid:durableId="2136872593">
    <w:abstractNumId w:val="21"/>
  </w:num>
  <w:num w:numId="18" w16cid:durableId="914054673">
    <w:abstractNumId w:val="7"/>
  </w:num>
  <w:num w:numId="19" w16cid:durableId="1432044109">
    <w:abstractNumId w:val="11"/>
  </w:num>
  <w:num w:numId="20" w16cid:durableId="777262101">
    <w:abstractNumId w:val="3"/>
  </w:num>
  <w:num w:numId="21" w16cid:durableId="284164984">
    <w:abstractNumId w:val="17"/>
  </w:num>
  <w:num w:numId="22" w16cid:durableId="877400409">
    <w:abstractNumId w:val="8"/>
  </w:num>
  <w:num w:numId="23" w16cid:durableId="1460949115">
    <w:abstractNumId w:val="19"/>
  </w:num>
  <w:num w:numId="24" w16cid:durableId="1829205950">
    <w:abstractNumId w:val="20"/>
  </w:num>
  <w:num w:numId="25" w16cid:durableId="269162399">
    <w:abstractNumId w:val="10"/>
  </w:num>
  <w:num w:numId="26" w16cid:durableId="1465926946">
    <w:abstractNumId w:val="9"/>
  </w:num>
  <w:num w:numId="27" w16cid:durableId="1529295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0F73A9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33E23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2659"/>
    <w:rsid w:val="006C38B8"/>
    <w:rsid w:val="006D0DBA"/>
    <w:rsid w:val="006D2ADE"/>
    <w:rsid w:val="006D5596"/>
    <w:rsid w:val="006D626D"/>
    <w:rsid w:val="006E7727"/>
    <w:rsid w:val="00717301"/>
    <w:rsid w:val="00727869"/>
    <w:rsid w:val="00736290"/>
    <w:rsid w:val="007801AE"/>
    <w:rsid w:val="007869DB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D84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C00BD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B5139"/>
    <w:rsid w:val="00DD17E7"/>
    <w:rsid w:val="00DD6CF7"/>
    <w:rsid w:val="00DE17EF"/>
    <w:rsid w:val="00DE1970"/>
    <w:rsid w:val="00E169F1"/>
    <w:rsid w:val="00E27F55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7</cp:revision>
  <cp:lastPrinted>2018-02-09T11:27:00Z</cp:lastPrinted>
  <dcterms:created xsi:type="dcterms:W3CDTF">2023-09-11T10:49:00Z</dcterms:created>
  <dcterms:modified xsi:type="dcterms:W3CDTF">2023-09-15T07:08:00Z</dcterms:modified>
</cp:coreProperties>
</file>