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0226DD5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53DC560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6DE0A1D" w14:textId="77777777" w:rsidR="00B17483" w:rsidRDefault="00B17483" w:rsidP="00B17483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68D78F3C" w:rsidR="005D742C" w:rsidRDefault="005D742C" w:rsidP="00824A7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</w:rPr>
      </w:pPr>
      <w:bookmarkStart w:id="0" w:name="_Hlk146009198"/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>Przeciwdziałanie nadużyciom w projektach unijnych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639D413D" w14:textId="77777777" w:rsidR="00B17483" w:rsidRPr="00824A74" w:rsidRDefault="00B17483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bookmarkEnd w:id="0"/>
    <w:p w14:paraId="537CFB0D" w14:textId="77777777" w:rsidR="005D742C" w:rsidRPr="00824A74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5635EBCA" w14:textId="77777777" w:rsidR="00AD399F" w:rsidRDefault="00AD399F" w:rsidP="00AD399F">
      <w:r>
        <w:t xml:space="preserve">1. </w:t>
      </w:r>
      <w:r w:rsidRPr="00507827">
        <w:t>Różnice w stosunku do perspektywy 2014-2020</w:t>
      </w:r>
      <w:r>
        <w:t xml:space="preserve"> z naciskiem na zmiany w obszarze kontroli</w:t>
      </w:r>
    </w:p>
    <w:p w14:paraId="6DA37FA5" w14:textId="77777777" w:rsidR="00AD399F" w:rsidRPr="00D01680" w:rsidRDefault="00AD399F" w:rsidP="00AD399F">
      <w:r>
        <w:t xml:space="preserve">2. </w:t>
      </w:r>
      <w:r w:rsidRPr="00D01680">
        <w:t>Najważniejsze zasady kwalifikowalności wydatków w Funduszach Europejskich 2021-2027</w:t>
      </w:r>
      <w:r>
        <w:t xml:space="preserve"> w ramach EFS+ m.in.</w:t>
      </w:r>
      <w:r w:rsidRPr="00D01680">
        <w:t>:</w:t>
      </w:r>
    </w:p>
    <w:p w14:paraId="3464BFEC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o</w:t>
      </w:r>
      <w:r w:rsidRPr="00D01680">
        <w:t>gólne warunki kwalifikowalności wydatków w latach 2021-2027</w:t>
      </w:r>
    </w:p>
    <w:p w14:paraId="182398A1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m</w:t>
      </w:r>
      <w:r w:rsidRPr="00D01680">
        <w:t>atryca kwalifikowalności</w:t>
      </w:r>
    </w:p>
    <w:p w14:paraId="28A30E70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z</w:t>
      </w:r>
      <w:r w:rsidRPr="00D01680">
        <w:t>akup nieruchomości</w:t>
      </w:r>
    </w:p>
    <w:p w14:paraId="126DB023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w</w:t>
      </w:r>
      <w:r w:rsidRPr="00D01680">
        <w:t>kład niepieniężny</w:t>
      </w:r>
    </w:p>
    <w:p w14:paraId="150AF334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 xml:space="preserve">VAT </w:t>
      </w:r>
    </w:p>
    <w:p w14:paraId="6020C61D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c</w:t>
      </w:r>
      <w:r w:rsidRPr="00D01680">
        <w:t xml:space="preserve">ross-financing </w:t>
      </w:r>
    </w:p>
    <w:p w14:paraId="645D3786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z</w:t>
      </w:r>
      <w:r w:rsidRPr="00D01680">
        <w:t>akupy środków trwałych i amortyzacja</w:t>
      </w:r>
    </w:p>
    <w:p w14:paraId="67280C95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t</w:t>
      </w:r>
      <w:r w:rsidRPr="00D01680">
        <w:t>rwałość projektów i przedsięwzięć</w:t>
      </w:r>
    </w:p>
    <w:p w14:paraId="0677A878" w14:textId="77777777" w:rsidR="00AD399F" w:rsidRPr="00D01680" w:rsidRDefault="00AD399F" w:rsidP="00AD399F">
      <w:pPr>
        <w:numPr>
          <w:ilvl w:val="0"/>
          <w:numId w:val="29"/>
        </w:numPr>
        <w:spacing w:line="259" w:lineRule="auto"/>
      </w:pPr>
      <w:r>
        <w:t>w</w:t>
      </w:r>
      <w:r w:rsidRPr="00D01680">
        <w:t>ynagrodzenia personelu</w:t>
      </w:r>
    </w:p>
    <w:p w14:paraId="3786AC21" w14:textId="77777777" w:rsidR="00AD399F" w:rsidRDefault="00AD399F" w:rsidP="00AD399F">
      <w:pPr>
        <w:numPr>
          <w:ilvl w:val="0"/>
          <w:numId w:val="29"/>
        </w:numPr>
        <w:spacing w:line="259" w:lineRule="auto"/>
      </w:pPr>
      <w:r>
        <w:t>u</w:t>
      </w:r>
      <w:r w:rsidRPr="00D01680">
        <w:t>proszczone formy rozliczania wydatków</w:t>
      </w:r>
      <w:r>
        <w:t>: zasady stosowania, różne metody uproszczone w jednym projekcie, koszty uproszczone dotyczące wydatków objętych ograniczeniami i limitami (np. cross-financing, grunty itp.), zaliczki/refundacje i ich rozliczanie w projektach rozliczanych kosztami uproszczonymi, weryfikacja wydatków rozliczanych uproszczoną metodą</w:t>
      </w:r>
    </w:p>
    <w:p w14:paraId="44865218" w14:textId="77777777" w:rsidR="00AD399F" w:rsidRDefault="00AD399F" w:rsidP="00AD399F">
      <w:pPr>
        <w:numPr>
          <w:ilvl w:val="0"/>
          <w:numId w:val="29"/>
        </w:numPr>
        <w:spacing w:line="259" w:lineRule="auto"/>
      </w:pPr>
      <w:r>
        <w:t>Wydatki niekwalifikowalne</w:t>
      </w:r>
    </w:p>
    <w:p w14:paraId="70082FF8" w14:textId="77777777" w:rsidR="00AD399F" w:rsidRPr="00482EEE" w:rsidRDefault="00AD399F" w:rsidP="00AD399F">
      <w:pPr>
        <w:rPr>
          <w:rFonts w:cstheme="minorHAnsi"/>
          <w:b/>
          <w:bCs/>
        </w:rPr>
      </w:pPr>
      <w:r w:rsidRPr="009048E7">
        <w:rPr>
          <w:rFonts w:cstheme="minorHAnsi"/>
        </w:rPr>
        <w:t xml:space="preserve">3. </w:t>
      </w:r>
      <w:r w:rsidRPr="00482EEE">
        <w:rPr>
          <w:rFonts w:cstheme="minorHAnsi"/>
        </w:rPr>
        <w:t>W</w:t>
      </w:r>
      <w:r w:rsidRPr="00482EEE">
        <w:rPr>
          <w:rStyle w:val="Pogrubienie"/>
          <w:rFonts w:cstheme="minorHAnsi"/>
          <w:color w:val="444444"/>
          <w:bdr w:val="none" w:sz="0" w:space="0" w:color="auto" w:frame="1"/>
          <w:shd w:val="clear" w:color="auto" w:fill="FFFFFF"/>
        </w:rPr>
        <w:t>yodrębniona ewidencji księgowej jako element kontroli na miejscu realizacji projektu – weryfikacja i najczęstsze błędy.</w:t>
      </w:r>
    </w:p>
    <w:p w14:paraId="0525215A" w14:textId="77777777" w:rsidR="00AD399F" w:rsidRDefault="00AD399F" w:rsidP="00AD399F">
      <w:r>
        <w:t xml:space="preserve">4. </w:t>
      </w:r>
      <w:r w:rsidRPr="00D01680">
        <w:t>Zasada konkurencyjności według nowych wytycznych kwalifikowalności dla okresu finansowania 2021-2027</w:t>
      </w:r>
      <w:r>
        <w:t xml:space="preserve"> m.in.:</w:t>
      </w:r>
    </w:p>
    <w:p w14:paraId="7C7D2EAB" w14:textId="77777777" w:rsidR="00AD399F" w:rsidRDefault="00AD399F" w:rsidP="00AD399F">
      <w:pPr>
        <w:pStyle w:val="Akapitzlist"/>
        <w:numPr>
          <w:ilvl w:val="0"/>
          <w:numId w:val="31"/>
        </w:numPr>
        <w:spacing w:line="259" w:lineRule="auto"/>
        <w:ind w:left="709"/>
        <w:contextualSpacing/>
      </w:pPr>
      <w:r>
        <w:t>w</w:t>
      </w:r>
      <w:r w:rsidRPr="00A847F2">
        <w:t>ydatki poniesione przed uzy</w:t>
      </w:r>
      <w:r>
        <w:t>skaniem umowy o dofinansowanie</w:t>
      </w:r>
    </w:p>
    <w:p w14:paraId="69744011" w14:textId="77777777" w:rsidR="00AD399F" w:rsidRDefault="00AD399F" w:rsidP="00AD399F">
      <w:pPr>
        <w:pStyle w:val="Akapitzlist"/>
        <w:numPr>
          <w:ilvl w:val="0"/>
          <w:numId w:val="31"/>
        </w:numPr>
        <w:spacing w:line="259" w:lineRule="auto"/>
        <w:ind w:left="709"/>
        <w:contextualSpacing/>
      </w:pPr>
      <w:r>
        <w:t>wydatki poniżej 50 tys. zł</w:t>
      </w:r>
    </w:p>
    <w:p w14:paraId="2BCAC663" w14:textId="77777777" w:rsidR="00AD399F" w:rsidRDefault="00AD399F" w:rsidP="00AD399F">
      <w:pPr>
        <w:pStyle w:val="Akapitzlist"/>
        <w:numPr>
          <w:ilvl w:val="0"/>
          <w:numId w:val="31"/>
        </w:numPr>
        <w:spacing w:line="259" w:lineRule="auto"/>
        <w:ind w:left="709"/>
        <w:contextualSpacing/>
      </w:pPr>
      <w:r>
        <w:t>n</w:t>
      </w:r>
      <w:r w:rsidRPr="00A847F2">
        <w:t>owe regu</w:t>
      </w:r>
      <w:r>
        <w:t>ły badania konfliktu interesów</w:t>
      </w:r>
    </w:p>
    <w:p w14:paraId="1D298142" w14:textId="77777777" w:rsidR="00AD399F" w:rsidRDefault="00AD399F" w:rsidP="00AD399F">
      <w:pPr>
        <w:pStyle w:val="Akapitzlist"/>
        <w:numPr>
          <w:ilvl w:val="0"/>
          <w:numId w:val="31"/>
        </w:numPr>
        <w:spacing w:line="259" w:lineRule="auto"/>
        <w:ind w:left="709"/>
        <w:contextualSpacing/>
      </w:pPr>
      <w:r>
        <w:t>o</w:t>
      </w:r>
      <w:r w:rsidRPr="00A847F2">
        <w:t>pis przedmiotu zamówienia – zakaz używania znaków towarowych w świet</w:t>
      </w:r>
      <w:r>
        <w:t>le taryfikatora korekt</w:t>
      </w:r>
    </w:p>
    <w:p w14:paraId="5C508AC8" w14:textId="77777777" w:rsidR="00AD399F" w:rsidRPr="00A847F2" w:rsidRDefault="00AD399F" w:rsidP="00AD399F">
      <w:pPr>
        <w:numPr>
          <w:ilvl w:val="0"/>
          <w:numId w:val="30"/>
        </w:numPr>
        <w:spacing w:line="259" w:lineRule="auto"/>
      </w:pPr>
      <w:r>
        <w:t>w</w:t>
      </w:r>
      <w:r w:rsidRPr="00A847F2">
        <w:t>yłączenia stosowania zasady konkurencyjności</w:t>
      </w:r>
    </w:p>
    <w:p w14:paraId="18E8F147" w14:textId="77777777" w:rsidR="00AD399F" w:rsidRPr="00A847F2" w:rsidRDefault="00AD399F" w:rsidP="00AD399F">
      <w:pPr>
        <w:numPr>
          <w:ilvl w:val="0"/>
          <w:numId w:val="30"/>
        </w:numPr>
        <w:spacing w:line="259" w:lineRule="auto"/>
      </w:pPr>
      <w:r>
        <w:t>prowadzenie</w:t>
      </w:r>
      <w:r w:rsidRPr="00A847F2">
        <w:t xml:space="preserve"> postępowania w BK202</w:t>
      </w:r>
      <w:r>
        <w:t>1</w:t>
      </w:r>
    </w:p>
    <w:p w14:paraId="3B7CE35F" w14:textId="77777777" w:rsidR="00AD399F" w:rsidRPr="00A847F2" w:rsidRDefault="00AD399F" w:rsidP="00AD399F">
      <w:pPr>
        <w:numPr>
          <w:ilvl w:val="0"/>
          <w:numId w:val="30"/>
        </w:numPr>
        <w:spacing w:line="259" w:lineRule="auto"/>
      </w:pPr>
      <w:r>
        <w:lastRenderedPageBreak/>
        <w:t>k</w:t>
      </w:r>
      <w:r w:rsidRPr="00A847F2">
        <w:t xml:space="preserve">omunikacja elektroniczna </w:t>
      </w:r>
    </w:p>
    <w:p w14:paraId="412B7E4A" w14:textId="77777777" w:rsidR="00AD399F" w:rsidRPr="00A847F2" w:rsidRDefault="00AD399F" w:rsidP="00AD399F">
      <w:pPr>
        <w:numPr>
          <w:ilvl w:val="0"/>
          <w:numId w:val="30"/>
        </w:numPr>
        <w:spacing w:line="259" w:lineRule="auto"/>
      </w:pPr>
      <w:r>
        <w:t>z</w:t>
      </w:r>
      <w:r w:rsidRPr="00A847F2">
        <w:t>miany dokumentów postępowania</w:t>
      </w:r>
    </w:p>
    <w:p w14:paraId="3C98C15D" w14:textId="77777777" w:rsidR="00AD399F" w:rsidRPr="00A847F2" w:rsidRDefault="00AD399F" w:rsidP="00AD399F">
      <w:pPr>
        <w:numPr>
          <w:ilvl w:val="0"/>
          <w:numId w:val="30"/>
        </w:numPr>
        <w:spacing w:line="259" w:lineRule="auto"/>
      </w:pPr>
      <w:r>
        <w:t>i</w:t>
      </w:r>
      <w:r w:rsidRPr="00A847F2">
        <w:t>nformacja o wyniku postępowania</w:t>
      </w:r>
    </w:p>
    <w:p w14:paraId="4B3ED684" w14:textId="77777777" w:rsidR="00AD399F" w:rsidRDefault="00AD399F" w:rsidP="00AD399F">
      <w:pPr>
        <w:numPr>
          <w:ilvl w:val="0"/>
          <w:numId w:val="30"/>
        </w:numPr>
        <w:spacing w:line="259" w:lineRule="auto"/>
      </w:pPr>
      <w:r>
        <w:t>p</w:t>
      </w:r>
      <w:r w:rsidRPr="00A847F2">
        <w:t>rotokół</w:t>
      </w:r>
      <w:r>
        <w:t>, u</w:t>
      </w:r>
      <w:r w:rsidRPr="00A847F2">
        <w:t>mowy</w:t>
      </w:r>
    </w:p>
    <w:p w14:paraId="44B8559A" w14:textId="77777777" w:rsidR="00AD399F" w:rsidRDefault="00AD399F" w:rsidP="00AD399F">
      <w:pPr>
        <w:numPr>
          <w:ilvl w:val="0"/>
          <w:numId w:val="30"/>
        </w:numPr>
        <w:spacing w:line="259" w:lineRule="auto"/>
      </w:pPr>
      <w:r>
        <w:t>naruszenia przepisów/korekty finansowe</w:t>
      </w:r>
    </w:p>
    <w:p w14:paraId="6EB8D201" w14:textId="77777777" w:rsidR="00AD399F" w:rsidRDefault="00AD399F" w:rsidP="00AD399F">
      <w:r>
        <w:t>5. Nadużycia w projektach unijnych:</w:t>
      </w:r>
    </w:p>
    <w:p w14:paraId="435D6121" w14:textId="77777777" w:rsidR="00AD399F" w:rsidRPr="00867E4A" w:rsidRDefault="00AD399F" w:rsidP="00AD399F">
      <w:pPr>
        <w:numPr>
          <w:ilvl w:val="0"/>
          <w:numId w:val="32"/>
        </w:numPr>
        <w:spacing w:line="259" w:lineRule="auto"/>
      </w:pPr>
      <w:r w:rsidRPr="00867E4A">
        <w:t>Nadużycia finansowe w praktyce – rodzaje nadużyć finansowych</w:t>
      </w:r>
    </w:p>
    <w:p w14:paraId="70641710" w14:textId="77777777" w:rsidR="00AD399F" w:rsidRPr="00867E4A" w:rsidRDefault="00AD399F" w:rsidP="00AD399F">
      <w:pPr>
        <w:numPr>
          <w:ilvl w:val="0"/>
          <w:numId w:val="32"/>
        </w:numPr>
        <w:spacing w:line="259" w:lineRule="auto"/>
      </w:pPr>
      <w:r w:rsidRPr="00867E4A">
        <w:t>Najczęściej występujące nadużycia finansowe wg KE, m.in.: zmowy przetargowe, konflikt interesów, korupcja, fałszerstwo dokumentów</w:t>
      </w:r>
    </w:p>
    <w:p w14:paraId="4AD5A61D" w14:textId="77777777" w:rsidR="00AD399F" w:rsidRDefault="00AD399F" w:rsidP="00AD399F">
      <w:pPr>
        <w:numPr>
          <w:ilvl w:val="0"/>
          <w:numId w:val="32"/>
        </w:numPr>
        <w:spacing w:line="259" w:lineRule="auto"/>
      </w:pPr>
      <w:r>
        <w:t>Przeciwdziałanie nadużyciom i reakcja na stwierdzone podejrzenia nadużyć</w:t>
      </w:r>
    </w:p>
    <w:p w14:paraId="0152968F" w14:textId="77777777" w:rsidR="00AD399F" w:rsidRPr="00482EEE" w:rsidRDefault="00AD399F" w:rsidP="00AD399F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 w:rsidRPr="00482EEE">
        <w:rPr>
          <w:rFonts w:asciiTheme="minorHAnsi" w:hAnsiTheme="minorHAnsi" w:cstheme="minorHAnsi"/>
          <w:sz w:val="22"/>
          <w:szCs w:val="22"/>
        </w:rPr>
        <w:t>6. Studia przypadków związane z kontrolą w projektach</w:t>
      </w:r>
    </w:p>
    <w:p w14:paraId="7CB81017" w14:textId="77777777" w:rsidR="00E8521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63806588" w:rsidR="005D742C" w:rsidRPr="003A55CF" w:rsidRDefault="005D742C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2FD1876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F40BC1">
        <w:rPr>
          <w:rFonts w:asciiTheme="minorHAnsi" w:hAnsiTheme="minorHAnsi" w:cstheme="minorHAnsi"/>
          <w:b/>
          <w:bCs/>
          <w:color w:val="212121"/>
          <w:sz w:val="24"/>
          <w:szCs w:val="24"/>
        </w:rPr>
        <w:t>nieprawidłowości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projektach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kresu </w:t>
      </w:r>
      <w:r w:rsidR="00F40BC1">
        <w:rPr>
          <w:rFonts w:asciiTheme="minorHAnsi" w:hAnsiTheme="minorHAnsi" w:cstheme="minorHAnsi"/>
          <w:color w:val="212121"/>
          <w:sz w:val="24"/>
          <w:szCs w:val="24"/>
        </w:rPr>
        <w:t>nieprawidłowości</w:t>
      </w:r>
      <w:r w:rsidR="001D5A59" w:rsidRPr="001D5A59">
        <w:rPr>
          <w:rFonts w:asciiTheme="minorHAnsi" w:hAnsiTheme="minorHAnsi" w:cstheme="minorHAnsi"/>
          <w:color w:val="212121"/>
          <w:sz w:val="24"/>
          <w:szCs w:val="24"/>
        </w:rPr>
        <w:t xml:space="preserve"> w projektach unijnych</w:t>
      </w:r>
      <w:r w:rsidR="001D5A59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>dla co najmniej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634CC9ED" w:rsidR="00DD17E7" w:rsidRPr="003A55CF" w:rsidRDefault="00DD17E7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29080A98" w:rsidR="00DD17E7" w:rsidRPr="003A55CF" w:rsidRDefault="00266B84" w:rsidP="00B17483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5C8C32C6" w:rsidR="00DD17E7" w:rsidRPr="003A55CF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25FD61D1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12C5752D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3F97B0E7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28DF19A" w14:textId="77777777" w:rsid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B17483">
        <w:rPr>
          <w:rFonts w:asciiTheme="minorHAnsi" w:hAnsiTheme="minorHAnsi" w:cstheme="minorHAnsi"/>
          <w:color w:val="212121"/>
          <w:u w:val="single"/>
        </w:rPr>
        <w:t>30</w:t>
      </w:r>
      <w:r w:rsidRPr="00B17483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2E1263DD" w:rsidR="00DD17E7" w:rsidRPr="00B17483" w:rsidRDefault="00DD17E7" w:rsidP="00B17483">
      <w:pPr>
        <w:pStyle w:val="NormalnyWeb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B17483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B17483">
          <w:rPr>
            <w:rStyle w:val="Hipercze"/>
            <w:rFonts w:asciiTheme="minorHAnsi" w:hAnsiTheme="minorHAnsi" w:cstheme="minorHAnsi"/>
          </w:rPr>
          <w:t>www.google.pl</w:t>
        </w:r>
      </w:hyperlink>
      <w:r w:rsidRPr="00B17483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B17483">
          <w:rPr>
            <w:rStyle w:val="Hipercze"/>
            <w:rFonts w:asciiTheme="minorHAnsi" w:hAnsiTheme="minorHAnsi" w:cstheme="minorHAnsi"/>
          </w:rPr>
          <w:t>www.targeo.pl</w:t>
        </w:r>
      </w:hyperlink>
      <w:r w:rsidRPr="00B17483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D5C317D" w14:textId="77777777" w:rsidR="00B17483" w:rsidRPr="00FC2AC7" w:rsidRDefault="00B17483" w:rsidP="00B17483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64E36E29" w14:textId="77777777" w:rsidR="00B17483" w:rsidRDefault="00B17483" w:rsidP="00B17483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4060E5D" w14:textId="77777777" w:rsidR="00B17483" w:rsidRPr="00CD1681" w:rsidRDefault="00B17483" w:rsidP="00B17483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7761B5BC" w14:textId="77777777" w:rsidR="00B17483" w:rsidRPr="00CD1681" w:rsidRDefault="00B17483" w:rsidP="00B17483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A85F716" w14:textId="77777777" w:rsidR="00B17483" w:rsidRPr="00CD1681" w:rsidRDefault="00B17483" w:rsidP="00B17483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006508B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3F0B5853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314842D1" w14:textId="77777777" w:rsidR="00B17483" w:rsidRPr="00CD1681" w:rsidRDefault="00B17483" w:rsidP="00B17483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3C382BE9" w14:textId="77777777" w:rsidR="00B17483" w:rsidRPr="00422287" w:rsidRDefault="00B17483" w:rsidP="00B17483">
      <w:pPr>
        <w:pStyle w:val="NormalnyWeb"/>
        <w:ind w:left="360"/>
        <w:jc w:val="both"/>
        <w:rPr>
          <w:rStyle w:val="Pogrubienie"/>
          <w:color w:val="212121"/>
        </w:rPr>
      </w:pPr>
    </w:p>
    <w:p w14:paraId="51F95745" w14:textId="77777777" w:rsidR="00B17483" w:rsidRPr="00FA656E" w:rsidRDefault="00B17483" w:rsidP="00B17483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6595D2C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FC4C90E" w14:textId="77777777" w:rsidR="00B17483" w:rsidRPr="009438AC" w:rsidRDefault="00B17483" w:rsidP="00B17483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61FBF8" w14:textId="77777777" w:rsidR="00B17483" w:rsidRPr="00CD1681" w:rsidRDefault="00B17483" w:rsidP="00B17483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90C49C8" w14:textId="77777777" w:rsidR="00B17483" w:rsidRPr="00CD1681" w:rsidRDefault="00B17483" w:rsidP="00B17483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6777850D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F382640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58205FFB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6D0F0E67" w14:textId="77777777" w:rsidR="00B17483" w:rsidRPr="00CD1681" w:rsidRDefault="00B17483" w:rsidP="00B17483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 xml:space="preserve">x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75A866AC" w14:textId="77777777" w:rsidR="00B17483" w:rsidRPr="00CD1681" w:rsidRDefault="00B17483" w:rsidP="00B17483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5877CBFE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06D9C4B1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6B5B5F9D" w14:textId="77777777" w:rsidR="00B17483" w:rsidRPr="009438AC" w:rsidRDefault="00B17483" w:rsidP="00B17483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B6FF569" w14:textId="77777777" w:rsidR="00B17483" w:rsidRPr="00CA1313" w:rsidRDefault="00B17483" w:rsidP="00B1748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1267BDD" w14:textId="77777777" w:rsidR="00B17483" w:rsidRPr="00795A9D" w:rsidRDefault="00B17483" w:rsidP="00B17483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3D23F97B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1" w:name="_Hlk1460092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AD399F">
        <w:rPr>
          <w:rStyle w:val="Pogrubienie"/>
          <w:rFonts w:asciiTheme="minorHAnsi" w:hAnsiTheme="minorHAnsi" w:cstheme="minorHAnsi"/>
          <w:color w:val="212121"/>
        </w:rPr>
        <w:t>28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AD399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24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AD399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oby.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63D6B35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AD399F">
        <w:rPr>
          <w:rStyle w:val="Pogrubienie"/>
          <w:rFonts w:asciiTheme="minorHAnsi" w:hAnsiTheme="minorHAnsi" w:cstheme="minorHAnsi"/>
          <w:color w:val="212121"/>
        </w:rPr>
        <w:t>1 grupa szkoleniowa x 2 dni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1D5A59">
        <w:rPr>
          <w:rStyle w:val="Pogrubienie"/>
          <w:rFonts w:asciiTheme="minorHAnsi" w:hAnsiTheme="minorHAnsi" w:cstheme="minorHAnsi"/>
        </w:rPr>
        <w:t>2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26724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1D5A59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4C08C7D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AD399F">
        <w:rPr>
          <w:rStyle w:val="Pogrubienie"/>
          <w:rFonts w:asciiTheme="minorHAnsi" w:hAnsiTheme="minorHAnsi" w:cstheme="minorHAnsi"/>
          <w:color w:val="212121"/>
        </w:rPr>
        <w:t>27 listopada – 8 grudnia 2023 r.</w:t>
      </w:r>
    </w:p>
    <w:bookmarkEnd w:id="1"/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7B6EA8D6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</w:t>
      </w:r>
      <w:r w:rsidR="0087000F">
        <w:rPr>
          <w:rFonts w:asciiTheme="minorHAnsi" w:hAnsiTheme="minorHAnsi" w:cstheme="minorHAnsi"/>
          <w:color w:val="212121"/>
        </w:rPr>
        <w:t xml:space="preserve">y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87000F">
        <w:rPr>
          <w:rFonts w:asciiTheme="minorHAnsi" w:hAnsiTheme="minorHAnsi" w:cstheme="minorHAnsi"/>
          <w:color w:val="212121"/>
        </w:rPr>
        <w:t xml:space="preserve">                                 </w:t>
      </w:r>
      <w:r w:rsidR="00B17483" w:rsidRPr="0087000F">
        <w:rPr>
          <w:rFonts w:asciiTheme="minorHAnsi" w:hAnsiTheme="minorHAnsi" w:cstheme="minorHAnsi"/>
          <w:b/>
          <w:bCs/>
          <w:color w:val="212121"/>
        </w:rPr>
        <w:t>1</w:t>
      </w:r>
      <w:r w:rsidR="0087000F">
        <w:rPr>
          <w:rFonts w:asciiTheme="minorHAnsi" w:hAnsiTheme="minorHAnsi" w:cstheme="minorHAnsi"/>
          <w:b/>
          <w:bCs/>
          <w:color w:val="212121"/>
        </w:rPr>
        <w:t>0</w:t>
      </w:r>
      <w:r w:rsidR="00B17483" w:rsidRPr="0087000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87000F">
        <w:rPr>
          <w:rFonts w:asciiTheme="minorHAnsi" w:hAnsiTheme="minorHAnsi" w:cstheme="minorHAnsi"/>
          <w:b/>
          <w:bCs/>
          <w:color w:val="212121"/>
        </w:rPr>
        <w:t>listopada</w:t>
      </w:r>
      <w:r w:rsidR="000C4C9B" w:rsidRPr="0087000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87000F">
        <w:rPr>
          <w:rStyle w:val="Pogrubienie"/>
          <w:rFonts w:asciiTheme="minorHAnsi" w:hAnsiTheme="minorHAnsi" w:cstheme="minorHAnsi"/>
          <w:color w:val="212121"/>
        </w:rPr>
        <w:t>202</w:t>
      </w:r>
      <w:r w:rsidR="00481874" w:rsidRPr="0087000F">
        <w:rPr>
          <w:rStyle w:val="Pogrubienie"/>
          <w:rFonts w:asciiTheme="minorHAnsi" w:hAnsiTheme="minorHAnsi" w:cstheme="minorHAnsi"/>
          <w:color w:val="212121"/>
        </w:rPr>
        <w:t>3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D5A59">
        <w:rPr>
          <w:rStyle w:val="Pogrubienie"/>
          <w:rFonts w:asciiTheme="minorHAnsi" w:hAnsiTheme="minorHAnsi" w:cstheme="minorHAnsi"/>
          <w:color w:val="212121"/>
        </w:rPr>
        <w:t>Przeciwdziałanie nadużyciom</w:t>
      </w:r>
      <w:r w:rsidR="00AD399F">
        <w:rPr>
          <w:rStyle w:val="Pogrubienie"/>
          <w:rFonts w:asciiTheme="minorHAnsi" w:hAnsiTheme="minorHAnsi" w:cstheme="minorHAnsi"/>
          <w:color w:val="212121"/>
        </w:rPr>
        <w:t xml:space="preserve"> w projektach unijnych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2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4298035E" w:rsidR="00185A7E" w:rsidRPr="003A55CF" w:rsidRDefault="005D742C" w:rsidP="006631A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643C"/>
    <w:multiLevelType w:val="hybridMultilevel"/>
    <w:tmpl w:val="AC0604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BAB037A"/>
    <w:multiLevelType w:val="multilevel"/>
    <w:tmpl w:val="36E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81801"/>
    <w:multiLevelType w:val="multilevel"/>
    <w:tmpl w:val="020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43A4"/>
    <w:multiLevelType w:val="multilevel"/>
    <w:tmpl w:val="5D0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AC671CD"/>
    <w:multiLevelType w:val="hybridMultilevel"/>
    <w:tmpl w:val="F3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6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3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1"/>
  </w:num>
  <w:num w:numId="15" w16cid:durableId="1610771716">
    <w:abstractNumId w:val="19"/>
  </w:num>
  <w:num w:numId="16" w16cid:durableId="1581258778">
    <w:abstractNumId w:val="2"/>
  </w:num>
  <w:num w:numId="17" w16cid:durableId="2136872593">
    <w:abstractNumId w:val="26"/>
  </w:num>
  <w:num w:numId="18" w16cid:durableId="914054673">
    <w:abstractNumId w:val="9"/>
  </w:num>
  <w:num w:numId="19" w16cid:durableId="1432044109">
    <w:abstractNumId w:val="14"/>
  </w:num>
  <w:num w:numId="20" w16cid:durableId="777262101">
    <w:abstractNumId w:val="3"/>
  </w:num>
  <w:num w:numId="21" w16cid:durableId="284164984">
    <w:abstractNumId w:val="22"/>
  </w:num>
  <w:num w:numId="22" w16cid:durableId="877400409">
    <w:abstractNumId w:val="10"/>
  </w:num>
  <w:num w:numId="23" w16cid:durableId="1460949115">
    <w:abstractNumId w:val="24"/>
  </w:num>
  <w:num w:numId="24" w16cid:durableId="1829205950">
    <w:abstractNumId w:val="25"/>
  </w:num>
  <w:num w:numId="25" w16cid:durableId="1821841934">
    <w:abstractNumId w:val="13"/>
  </w:num>
  <w:num w:numId="26" w16cid:durableId="993803538">
    <w:abstractNumId w:val="11"/>
  </w:num>
  <w:num w:numId="27" w16cid:durableId="239565480">
    <w:abstractNumId w:val="17"/>
  </w:num>
  <w:num w:numId="28" w16cid:durableId="657349476">
    <w:abstractNumId w:val="20"/>
  </w:num>
  <w:num w:numId="29" w16cid:durableId="1738822808">
    <w:abstractNumId w:val="12"/>
  </w:num>
  <w:num w:numId="30" w16cid:durableId="432285711">
    <w:abstractNumId w:val="18"/>
  </w:num>
  <w:num w:numId="31" w16cid:durableId="2022929890">
    <w:abstractNumId w:val="7"/>
  </w:num>
  <w:num w:numId="32" w16cid:durableId="522592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248D8"/>
    <w:rsid w:val="00031BE0"/>
    <w:rsid w:val="00032805"/>
    <w:rsid w:val="0007636E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D5A59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631A2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7000F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399F"/>
    <w:rsid w:val="00AD4F1E"/>
    <w:rsid w:val="00AD7B78"/>
    <w:rsid w:val="00B0207D"/>
    <w:rsid w:val="00B17483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0BC1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5</cp:revision>
  <cp:lastPrinted>2018-02-09T11:27:00Z</cp:lastPrinted>
  <dcterms:created xsi:type="dcterms:W3CDTF">2023-10-11T06:26:00Z</dcterms:created>
  <dcterms:modified xsi:type="dcterms:W3CDTF">2023-11-03T06:18:00Z</dcterms:modified>
</cp:coreProperties>
</file>