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C4439E">
      <w:pPr>
        <w:pStyle w:val="NormalnyWe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BD963F6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B97A8A6" w14:textId="77777777" w:rsidR="00D832C6" w:rsidRDefault="00D832C6" w:rsidP="00D832C6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Szanowni Państwo, </w:t>
      </w:r>
    </w:p>
    <w:p w14:paraId="642DC896" w14:textId="77777777" w:rsidR="00D832C6" w:rsidRDefault="00D832C6" w:rsidP="00D832C6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B750BFE" w14:textId="77777777" w:rsidR="00D832C6" w:rsidRDefault="00D832C6" w:rsidP="00D832C6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Mazowiecka Jednostka Wdrażania Programów Unijnych, zwraca się z uprzejmą prośbą o przygotowanie oferty dwudniowego szkolenia warsztatowego dla pracowników z następującego zakresu tematycznego</w:t>
      </w:r>
      <w:r w:rsidRPr="00DD5A1D">
        <w:rPr>
          <w:rFonts w:asciiTheme="minorHAnsi" w:hAnsiTheme="minorHAnsi"/>
          <w:sz w:val="22"/>
        </w:rPr>
        <w:t>:</w:t>
      </w:r>
    </w:p>
    <w:p w14:paraId="3DDCB254" w14:textId="77777777" w:rsidR="002F76CE" w:rsidRDefault="002F76CE" w:rsidP="002F76CE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43422524" w14:textId="77777777" w:rsidR="00D832C6" w:rsidRDefault="00D832C6" w:rsidP="003408D1">
      <w:pPr>
        <w:spacing w:line="276" w:lineRule="auto"/>
        <w:jc w:val="center"/>
        <w:rPr>
          <w:rFonts w:asciiTheme="minorHAnsi" w:hAnsiTheme="minorHAnsi" w:cstheme="minorHAnsi"/>
          <w:b/>
          <w:bCs/>
          <w:color w:val="212121"/>
        </w:rPr>
      </w:pPr>
    </w:p>
    <w:p w14:paraId="28594DF9" w14:textId="48A6D4E5" w:rsidR="005D742C" w:rsidRDefault="005D742C" w:rsidP="003408D1">
      <w:pPr>
        <w:spacing w:line="276" w:lineRule="auto"/>
        <w:jc w:val="center"/>
        <w:rPr>
          <w:rFonts w:eastAsia="Times New Roman"/>
          <w:b/>
          <w:bCs/>
        </w:rPr>
      </w:pPr>
      <w:r w:rsidRPr="00266B84">
        <w:rPr>
          <w:rFonts w:asciiTheme="minorHAnsi" w:hAnsiTheme="minorHAnsi" w:cstheme="minorHAnsi"/>
          <w:b/>
          <w:bCs/>
          <w:color w:val="212121"/>
        </w:rPr>
        <w:t>„</w:t>
      </w:r>
      <w:bookmarkStart w:id="0" w:name="_Hlk179282619"/>
      <w:r w:rsidR="003408D1" w:rsidRPr="00104A5B">
        <w:rPr>
          <w:rFonts w:eastAsia="Times New Roman"/>
          <w:b/>
          <w:bCs/>
        </w:rPr>
        <w:t xml:space="preserve">Nieprawidłowości w zamówieniach publicznych </w:t>
      </w:r>
      <w:r w:rsidR="003408D1">
        <w:rPr>
          <w:rFonts w:eastAsia="Times New Roman"/>
          <w:b/>
          <w:bCs/>
        </w:rPr>
        <w:t xml:space="preserve">udzielanych w ramach projektów finansowanych z UE </w:t>
      </w:r>
      <w:r w:rsidR="003408D1" w:rsidRPr="00104A5B">
        <w:rPr>
          <w:rFonts w:eastAsia="Times New Roman"/>
          <w:b/>
          <w:bCs/>
        </w:rPr>
        <w:t xml:space="preserve">- w świetle </w:t>
      </w:r>
      <w:r w:rsidR="003408D1" w:rsidRPr="00BD22EA">
        <w:rPr>
          <w:rFonts w:eastAsia="Times New Roman"/>
          <w:b/>
          <w:bCs/>
        </w:rPr>
        <w:t xml:space="preserve">aktualnego </w:t>
      </w:r>
      <w:r w:rsidR="003408D1" w:rsidRPr="00104A5B">
        <w:rPr>
          <w:rFonts w:eastAsia="Times New Roman"/>
          <w:b/>
          <w:bCs/>
        </w:rPr>
        <w:t xml:space="preserve">orzecznictwa i wniosków organów kontroli. </w:t>
      </w:r>
      <w:r w:rsidR="003408D1">
        <w:rPr>
          <w:rFonts w:eastAsia="Times New Roman"/>
          <w:b/>
          <w:bCs/>
        </w:rPr>
        <w:t>„</w:t>
      </w:r>
      <w:bookmarkEnd w:id="0"/>
    </w:p>
    <w:p w14:paraId="4F92FD09" w14:textId="77777777" w:rsidR="003408D1" w:rsidRDefault="003408D1" w:rsidP="003408D1">
      <w:pPr>
        <w:spacing w:line="276" w:lineRule="auto"/>
        <w:jc w:val="both"/>
        <w:rPr>
          <w:rFonts w:asciiTheme="minorHAnsi" w:hAnsiTheme="minorHAnsi" w:cstheme="minorHAnsi"/>
          <w:b/>
          <w:bCs/>
          <w:color w:val="212121"/>
        </w:rPr>
      </w:pPr>
    </w:p>
    <w:p w14:paraId="2AF36B13" w14:textId="77777777" w:rsidR="002F76CE" w:rsidRPr="005B0AB9" w:rsidRDefault="002F76CE" w:rsidP="002F76CE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240B2EFC" w14:textId="77777777" w:rsidR="00452960" w:rsidRPr="00452960" w:rsidRDefault="00452960" w:rsidP="0045296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FB9319F" w14:textId="2C5A11FC" w:rsidR="003408D1" w:rsidRPr="003408D1" w:rsidRDefault="00452960" w:rsidP="00D471BF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2960">
        <w:rPr>
          <w:rFonts w:ascii="Calibri" w:hAnsi="Calibri"/>
          <w:b/>
          <w:bCs/>
          <w:sz w:val="22"/>
          <w:szCs w:val="22"/>
        </w:rPr>
        <w:t>Cel szkolenia</w:t>
      </w:r>
      <w:r w:rsidRPr="00452960">
        <w:rPr>
          <w:rFonts w:ascii="Calibri" w:hAnsi="Calibri"/>
          <w:sz w:val="22"/>
          <w:szCs w:val="22"/>
        </w:rPr>
        <w:t xml:space="preserve">: </w:t>
      </w:r>
      <w:r w:rsidR="00D471BF">
        <w:rPr>
          <w:rFonts w:ascii="Calibri" w:hAnsi="Calibri"/>
          <w:sz w:val="22"/>
          <w:szCs w:val="22"/>
        </w:rPr>
        <w:t>Aktualizacja wiedzy</w:t>
      </w:r>
      <w:r w:rsidR="00D471BF" w:rsidRPr="00D471BF">
        <w:rPr>
          <w:rFonts w:ascii="Calibri" w:hAnsi="Calibri"/>
          <w:sz w:val="22"/>
          <w:szCs w:val="22"/>
        </w:rPr>
        <w:t xml:space="preserve"> w obszarze zamówień publicznych</w:t>
      </w:r>
    </w:p>
    <w:p w14:paraId="537CFB0D" w14:textId="0C250697" w:rsidR="005D742C" w:rsidRPr="00D471BF" w:rsidRDefault="00836628" w:rsidP="00452960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Zakres tematyczny </w:t>
      </w:r>
      <w:r w:rsidR="005D742C"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szkolenia:</w:t>
      </w:r>
    </w:p>
    <w:p w14:paraId="56B6D0D3" w14:textId="77777777" w:rsidR="00D471BF" w:rsidRPr="00D471BF" w:rsidRDefault="00D471BF" w:rsidP="00D471BF">
      <w:pPr>
        <w:pStyle w:val="Bezodstpw"/>
        <w:tabs>
          <w:tab w:val="left" w:pos="426"/>
        </w:tabs>
        <w:spacing w:line="360" w:lineRule="auto"/>
        <w:ind w:left="720"/>
        <w:jc w:val="both"/>
        <w:rPr>
          <w:rStyle w:val="Pogrubienie"/>
          <w:rFonts w:ascii="Calibri" w:hAnsi="Calibri"/>
          <w:sz w:val="22"/>
          <w:szCs w:val="22"/>
        </w:rPr>
      </w:pPr>
    </w:p>
    <w:p w14:paraId="69A20CB6" w14:textId="77777777" w:rsidR="00D471BF" w:rsidRPr="00D471BF" w:rsidRDefault="00D471BF" w:rsidP="00D471BF">
      <w:pPr>
        <w:pStyle w:val="Akapitzlist"/>
        <w:numPr>
          <w:ilvl w:val="0"/>
          <w:numId w:val="45"/>
        </w:numPr>
        <w:spacing w:after="160" w:line="259" w:lineRule="auto"/>
        <w:contextualSpacing/>
      </w:pPr>
      <w:r w:rsidRPr="00D471BF">
        <w:t>Wprowadzenie – aktualne zestawienie przepisów obowiązujących w systemie zamówień publicznych</w:t>
      </w:r>
    </w:p>
    <w:p w14:paraId="08CE8A45" w14:textId="77777777" w:rsidR="00D471BF" w:rsidRPr="00D471BF" w:rsidRDefault="00D471BF" w:rsidP="00D471BF">
      <w:pPr>
        <w:pStyle w:val="Akapitzlist"/>
        <w:numPr>
          <w:ilvl w:val="0"/>
          <w:numId w:val="45"/>
        </w:numPr>
        <w:spacing w:after="160" w:line="259" w:lineRule="auto"/>
        <w:contextualSpacing/>
      </w:pPr>
      <w:r w:rsidRPr="00D471BF">
        <w:rPr>
          <w:rFonts w:eastAsia="Times New Roman"/>
        </w:rPr>
        <w:t>Analiza zmian</w:t>
      </w:r>
    </w:p>
    <w:p w14:paraId="769B3EF9" w14:textId="77777777" w:rsidR="00D471BF" w:rsidRPr="00D471BF" w:rsidRDefault="00D471BF" w:rsidP="00D471BF">
      <w:pPr>
        <w:pStyle w:val="Akapitzlist"/>
        <w:numPr>
          <w:ilvl w:val="0"/>
          <w:numId w:val="45"/>
        </w:numPr>
        <w:spacing w:line="276" w:lineRule="auto"/>
        <w:contextualSpacing/>
        <w:jc w:val="both"/>
      </w:pPr>
      <w:r w:rsidRPr="00D471BF">
        <w:t>Nieprawidłowości przy udzielaniu zamówień publicznych skutkujących nałożeniem korekt finansowych w odniesieniu do ustawy prawo zamówień publicznych w projektach realizowanych w ramach FEM – analiza przykładów w oparciu o wyniki kontroli, orzecznictwo sądów powszechnych</w:t>
      </w:r>
    </w:p>
    <w:p w14:paraId="3CCBC25B" w14:textId="77777777" w:rsidR="00D471BF" w:rsidRPr="00D471BF" w:rsidRDefault="00D471BF" w:rsidP="00D471BF">
      <w:pPr>
        <w:pStyle w:val="Akapitzlist"/>
        <w:numPr>
          <w:ilvl w:val="0"/>
          <w:numId w:val="46"/>
        </w:numPr>
        <w:spacing w:before="240" w:line="276" w:lineRule="auto"/>
        <w:contextualSpacing/>
        <w:jc w:val="both"/>
      </w:pPr>
      <w:r w:rsidRPr="00D471BF">
        <w:t>Nieprawidłowości w obszarze szacowania wartości zamówienia</w:t>
      </w:r>
    </w:p>
    <w:p w14:paraId="6FEBE61C" w14:textId="77777777" w:rsidR="00D471BF" w:rsidRPr="00D471BF" w:rsidRDefault="00D471BF" w:rsidP="00295934">
      <w:pPr>
        <w:pStyle w:val="Akapitzlist"/>
        <w:jc w:val="both"/>
      </w:pPr>
      <w:r w:rsidRPr="00D471BF">
        <w:t>- Ustalanie wartości zamówienia.  </w:t>
      </w:r>
    </w:p>
    <w:p w14:paraId="47E7C432" w14:textId="77777777" w:rsidR="00D471BF" w:rsidRPr="00D471BF" w:rsidRDefault="00D471BF" w:rsidP="00295934">
      <w:pPr>
        <w:pStyle w:val="Akapitzlist"/>
        <w:jc w:val="both"/>
      </w:pPr>
      <w:r w:rsidRPr="00D471BF">
        <w:t>- Nieprawidłowe dzielenie zamówienia.</w:t>
      </w:r>
    </w:p>
    <w:p w14:paraId="215E8E1A" w14:textId="77777777" w:rsidR="00D471BF" w:rsidRPr="00D471BF" w:rsidRDefault="00D471BF" w:rsidP="00295934">
      <w:pPr>
        <w:ind w:left="709"/>
      </w:pPr>
      <w:r w:rsidRPr="00D471BF">
        <w:t>- Zamówienia udzielane/ realizowane w ramach projektów wieloletnich.</w:t>
      </w:r>
      <w:r w:rsidRPr="00D471BF">
        <w:br/>
        <w:t>- Zamówienia nieplanowane.</w:t>
      </w:r>
      <w:r w:rsidRPr="00D471BF">
        <w:br/>
        <w:t>- Zamówienia udzielane w częściach.</w:t>
      </w:r>
      <w:r w:rsidRPr="00D471BF">
        <w:br/>
        <w:t>- Projekty partnerskie a szacowanie wartości zamówienia w projektach partnerskich.</w:t>
      </w:r>
      <w:r w:rsidRPr="00D471BF">
        <w:br/>
      </w:r>
      <w:r w:rsidRPr="00295934">
        <w:rPr>
          <w:b/>
          <w:bCs/>
        </w:rPr>
        <w:t>b)</w:t>
      </w:r>
      <w:r w:rsidRPr="00D471BF">
        <w:t xml:space="preserve"> Nieprawidłowości w obszarze opisu przedmiotu zamówienia, zapisów SWZ:</w:t>
      </w:r>
      <w:r w:rsidRPr="00D471BF">
        <w:br/>
        <w:t>- Niejednoznaczny opis przedmiotu zamówienia.</w:t>
      </w:r>
      <w:r w:rsidRPr="00D471BF">
        <w:br/>
        <w:t>- Pośrednie i bezpośrednie naruszenie zasady zachowania uczciwej konkurencji poprzez dyskryminacyjny opis przedmiotu zamówienia.</w:t>
      </w:r>
      <w:r w:rsidRPr="00D471BF">
        <w:br/>
        <w:t>- Stosowanie zapisów o równoważności rozwiązań.</w:t>
      </w:r>
      <w:r w:rsidRPr="00D471BF">
        <w:br/>
      </w:r>
      <w:r w:rsidRPr="00D471BF">
        <w:lastRenderedPageBreak/>
        <w:t>- Używanie znaków towarowych norm i innych odniesień.</w:t>
      </w:r>
      <w:r w:rsidRPr="00D471BF">
        <w:br/>
        <w:t>- Podział zamówienia i jego brak.</w:t>
      </w:r>
      <w:r w:rsidRPr="00D471BF">
        <w:br/>
        <w:t>- Zamówienia wielorodzajowe.</w:t>
      </w:r>
      <w:r w:rsidRPr="00D471BF">
        <w:br/>
        <w:t>- Przedmiotowe środki dowodowe.</w:t>
      </w:r>
    </w:p>
    <w:p w14:paraId="437E506A" w14:textId="77777777" w:rsidR="00D471BF" w:rsidRPr="00D471BF" w:rsidRDefault="00D471BF" w:rsidP="00295934">
      <w:pPr>
        <w:pStyle w:val="Akapitzlist"/>
      </w:pPr>
      <w:r w:rsidRPr="00D471BF">
        <w:t>- Prawo opcji.</w:t>
      </w:r>
      <w:r w:rsidRPr="00D471BF">
        <w:br/>
      </w:r>
      <w:r w:rsidRPr="00295934">
        <w:rPr>
          <w:b/>
          <w:bCs/>
        </w:rPr>
        <w:t>c)</w:t>
      </w:r>
      <w:r w:rsidRPr="00D471BF">
        <w:t xml:space="preserve"> Nieprawidłowości w obszarze warunków udziału w postępowaniu oraz podstaw wykluczenia z udziału w postępowaniu:</w:t>
      </w:r>
      <w:r w:rsidRPr="00D471BF">
        <w:br/>
        <w:t>- Najczęstsze nieprawidłowości dotyczące warunków udziału w postępowaniu.</w:t>
      </w:r>
      <w:r w:rsidRPr="00D471BF">
        <w:br/>
        <w:t>- Zasada proporcjonalności.</w:t>
      </w:r>
    </w:p>
    <w:p w14:paraId="5FDFCB99" w14:textId="77777777" w:rsidR="00D471BF" w:rsidRPr="00D471BF" w:rsidRDefault="00D471BF" w:rsidP="00295934">
      <w:pPr>
        <w:pStyle w:val="Akapitzlist"/>
      </w:pPr>
      <w:r w:rsidRPr="00D471BF">
        <w:t xml:space="preserve"> - Korzystanie z zasobów innych podmiotów.</w:t>
      </w:r>
      <w:r w:rsidRPr="00D471BF">
        <w:br/>
        <w:t>- Podmiotowe środki dowodowe.</w:t>
      </w:r>
      <w:r w:rsidRPr="00D471BF">
        <w:br/>
        <w:t xml:space="preserve">- Wspólne ubieganie się o udzielenie zamówienia. </w:t>
      </w:r>
      <w:r w:rsidRPr="00D471BF">
        <w:br/>
        <w:t>- Podstawy wykluczenia wykonawcy z udziału w postępowaniu.</w:t>
      </w:r>
      <w:r w:rsidRPr="00D471BF">
        <w:br/>
        <w:t>- Uzupełnianie i wyjaśnianie dokumentów.</w:t>
      </w:r>
      <w:r w:rsidRPr="00D471BF">
        <w:br/>
      </w:r>
      <w:r w:rsidRPr="00295934">
        <w:rPr>
          <w:b/>
          <w:bCs/>
        </w:rPr>
        <w:t>d)</w:t>
      </w:r>
      <w:r w:rsidRPr="00D471BF">
        <w:t xml:space="preserve"> Nieprawidłowości w obszarze kryteriów oceny ofert:</w:t>
      </w:r>
      <w:r w:rsidRPr="00D471BF">
        <w:br/>
        <w:t>- Kryteria podmiotowe.</w:t>
      </w:r>
    </w:p>
    <w:p w14:paraId="2792854D" w14:textId="77777777" w:rsidR="00D471BF" w:rsidRPr="00D471BF" w:rsidRDefault="00D471BF" w:rsidP="00295934">
      <w:pPr>
        <w:pStyle w:val="Akapitzlist"/>
      </w:pPr>
      <w:r w:rsidRPr="00D471BF">
        <w:t>- Kryterium cenowe.</w:t>
      </w:r>
      <w:r w:rsidRPr="00D471BF">
        <w:br/>
        <w:t>- Cena jako jedyne kryterium oceny ofert.</w:t>
      </w:r>
    </w:p>
    <w:p w14:paraId="3B1090D9" w14:textId="77777777" w:rsidR="00D471BF" w:rsidRPr="00D471BF" w:rsidRDefault="00D471BF" w:rsidP="00295934">
      <w:pPr>
        <w:pStyle w:val="Akapitzlist"/>
      </w:pPr>
      <w:r w:rsidRPr="00D471BF">
        <w:t>- Najczęściej występujące nieprawidłowości.</w:t>
      </w:r>
      <w:r w:rsidRPr="00D471BF">
        <w:br/>
        <w:t>e) Nieprawidłowości w obszarze  oceny i badania ofert:</w:t>
      </w:r>
      <w:r w:rsidRPr="00D471BF">
        <w:br/>
        <w:t>- Niezgodność treści oferty z treścią SIWZ.</w:t>
      </w:r>
    </w:p>
    <w:p w14:paraId="05919F51" w14:textId="77777777" w:rsidR="00D471BF" w:rsidRPr="00D471BF" w:rsidRDefault="00D471BF" w:rsidP="00295934">
      <w:pPr>
        <w:pStyle w:val="Akapitzlist"/>
      </w:pPr>
      <w:r w:rsidRPr="00D471BF">
        <w:t xml:space="preserve">- Rażąco niska cena. </w:t>
      </w:r>
    </w:p>
    <w:p w14:paraId="3E9988AB" w14:textId="77777777" w:rsidR="00D471BF" w:rsidRPr="00D471BF" w:rsidRDefault="00D471BF" w:rsidP="00295934">
      <w:pPr>
        <w:pStyle w:val="Akapitzlist"/>
      </w:pPr>
      <w:r w:rsidRPr="00D471BF">
        <w:t>- Błędy w obliczeniu ceny, w tym nieprawidłowa stawka VAT</w:t>
      </w:r>
      <w:r w:rsidRPr="00D471BF">
        <w:br/>
        <w:t>- Poprawianie omyłek.</w:t>
      </w:r>
    </w:p>
    <w:p w14:paraId="231CE256" w14:textId="77777777" w:rsidR="00D471BF" w:rsidRPr="00D471BF" w:rsidRDefault="00D471BF" w:rsidP="00295934">
      <w:pPr>
        <w:pStyle w:val="Akapitzlist"/>
      </w:pPr>
      <w:r w:rsidRPr="00D471BF">
        <w:t>- Uzupełnienia ofert.</w:t>
      </w:r>
      <w:r w:rsidRPr="00D471BF">
        <w:br/>
        <w:t>f)  Nieprawidłowości w obszarze realizacji zamówienia i zmiany umów:</w:t>
      </w:r>
    </w:p>
    <w:p w14:paraId="2623CB65" w14:textId="77777777" w:rsidR="00D471BF" w:rsidRPr="00D471BF" w:rsidRDefault="00D471BF" w:rsidP="00D471BF">
      <w:pPr>
        <w:spacing w:line="276" w:lineRule="auto"/>
        <w:ind w:firstLine="708"/>
        <w:jc w:val="both"/>
        <w:rPr>
          <w:rFonts w:eastAsia="Times New Roman"/>
        </w:rPr>
      </w:pPr>
      <w:r w:rsidRPr="00D471BF">
        <w:t xml:space="preserve">- </w:t>
      </w:r>
      <w:r w:rsidRPr="00D471BF">
        <w:rPr>
          <w:rFonts w:eastAsia="Times New Roman"/>
        </w:rPr>
        <w:t>Przesłanki dopuszczające zmianę umowy:</w:t>
      </w:r>
    </w:p>
    <w:p w14:paraId="463EA67A" w14:textId="77777777" w:rsidR="00D471BF" w:rsidRPr="00295934" w:rsidRDefault="00D471BF" w:rsidP="00295934">
      <w:pPr>
        <w:pStyle w:val="Akapitzlist"/>
        <w:numPr>
          <w:ilvl w:val="0"/>
          <w:numId w:val="48"/>
        </w:numPr>
        <w:spacing w:line="276" w:lineRule="auto"/>
        <w:jc w:val="both"/>
        <w:rPr>
          <w:rFonts w:eastAsia="Times New Roman"/>
        </w:rPr>
      </w:pPr>
      <w:r w:rsidRPr="00295934">
        <w:rPr>
          <w:rFonts w:eastAsia="Times New Roman"/>
        </w:rPr>
        <w:t>Zmiany nieistotne</w:t>
      </w:r>
    </w:p>
    <w:p w14:paraId="6C85666B" w14:textId="77777777" w:rsidR="00D471BF" w:rsidRPr="00295934" w:rsidRDefault="00D471BF" w:rsidP="00295934">
      <w:pPr>
        <w:pStyle w:val="Akapitzlist"/>
        <w:numPr>
          <w:ilvl w:val="0"/>
          <w:numId w:val="48"/>
        </w:numPr>
        <w:spacing w:line="276" w:lineRule="auto"/>
        <w:jc w:val="both"/>
        <w:rPr>
          <w:rFonts w:eastAsia="Times New Roman"/>
        </w:rPr>
      </w:pPr>
      <w:r w:rsidRPr="00295934">
        <w:rPr>
          <w:rFonts w:eastAsia="Times New Roman"/>
        </w:rPr>
        <w:t>Zmiany istotne</w:t>
      </w:r>
      <w:r w:rsidRPr="00D471BF">
        <w:t xml:space="preserve"> </w:t>
      </w:r>
    </w:p>
    <w:p w14:paraId="54B6F761" w14:textId="77777777" w:rsidR="00D471BF" w:rsidRPr="00D471BF" w:rsidRDefault="00D471BF" w:rsidP="00D471BF">
      <w:pPr>
        <w:spacing w:line="276" w:lineRule="auto"/>
        <w:ind w:firstLine="708"/>
        <w:jc w:val="both"/>
      </w:pPr>
      <w:r w:rsidRPr="00D471BF">
        <w:t>- Klauzule abuzywne.</w:t>
      </w:r>
    </w:p>
    <w:p w14:paraId="0A3D1C48" w14:textId="77777777" w:rsidR="00D471BF" w:rsidRPr="00D471BF" w:rsidRDefault="00D471BF" w:rsidP="00D471BF">
      <w:pPr>
        <w:spacing w:line="276" w:lineRule="auto"/>
        <w:ind w:left="426" w:firstLine="360"/>
        <w:jc w:val="both"/>
      </w:pPr>
      <w:r w:rsidRPr="00D471BF">
        <w:t>- Nieuprawnione zmiany - przykłady nieprawidłowości w obszarze zmian do umów.</w:t>
      </w:r>
    </w:p>
    <w:p w14:paraId="6572BA0A" w14:textId="77777777" w:rsidR="00D471BF" w:rsidRPr="00D471BF" w:rsidRDefault="00D471BF" w:rsidP="00D471BF">
      <w:pPr>
        <w:spacing w:line="276" w:lineRule="auto"/>
        <w:ind w:left="426" w:firstLine="360"/>
        <w:jc w:val="both"/>
      </w:pPr>
      <w:r w:rsidRPr="00D471BF">
        <w:t>- Zamówienia dodatkowe.</w:t>
      </w:r>
    </w:p>
    <w:p w14:paraId="7D580133" w14:textId="77777777" w:rsidR="00D471BF" w:rsidRPr="00D471BF" w:rsidRDefault="00D471BF" w:rsidP="00295934">
      <w:pPr>
        <w:spacing w:line="276" w:lineRule="auto"/>
        <w:ind w:left="426" w:firstLine="360"/>
        <w:jc w:val="both"/>
        <w:rPr>
          <w:rFonts w:eastAsia="Times New Roman"/>
        </w:rPr>
      </w:pPr>
      <w:r w:rsidRPr="00D471BF">
        <w:t>- Waloryzacja wynagrodzenia.</w:t>
      </w:r>
    </w:p>
    <w:p w14:paraId="3432ED20" w14:textId="77777777" w:rsidR="00D471BF" w:rsidRPr="00D471BF" w:rsidRDefault="00D471BF" w:rsidP="00295934">
      <w:pPr>
        <w:pStyle w:val="Akapitzlist"/>
        <w:numPr>
          <w:ilvl w:val="0"/>
          <w:numId w:val="45"/>
        </w:numPr>
        <w:contextualSpacing/>
      </w:pPr>
      <w:r w:rsidRPr="00D471BF">
        <w:t xml:space="preserve">Nieprawidłowości w stosowaniu Zasady konkurencyjności </w:t>
      </w:r>
    </w:p>
    <w:p w14:paraId="20BFB82C" w14:textId="77777777" w:rsidR="00D471BF" w:rsidRPr="00D471BF" w:rsidRDefault="00D471BF" w:rsidP="00295934">
      <w:pPr>
        <w:pStyle w:val="Akapitzlist"/>
        <w:numPr>
          <w:ilvl w:val="0"/>
          <w:numId w:val="47"/>
        </w:numPr>
        <w:contextualSpacing/>
      </w:pPr>
      <w:r w:rsidRPr="00D471BF">
        <w:t>Główne obszary  nieprawidłowości</w:t>
      </w:r>
    </w:p>
    <w:p w14:paraId="760937C3" w14:textId="77777777" w:rsidR="00D471BF" w:rsidRPr="00D471BF" w:rsidRDefault="00D471BF" w:rsidP="00295934">
      <w:pPr>
        <w:pStyle w:val="Akapitzlist"/>
        <w:numPr>
          <w:ilvl w:val="0"/>
          <w:numId w:val="47"/>
        </w:numPr>
        <w:contextualSpacing/>
      </w:pPr>
      <w:r w:rsidRPr="00D471BF">
        <w:t>Przykłady nieprawidłowości</w:t>
      </w:r>
    </w:p>
    <w:p w14:paraId="5AAD347E" w14:textId="727C53FE" w:rsidR="00D471BF" w:rsidRPr="00D471BF" w:rsidRDefault="00D471BF" w:rsidP="00D471BF">
      <w:pPr>
        <w:pStyle w:val="Akapitzlist"/>
        <w:numPr>
          <w:ilvl w:val="0"/>
          <w:numId w:val="45"/>
        </w:numPr>
        <w:spacing w:before="100" w:beforeAutospacing="1" w:after="100" w:afterAutospacing="1"/>
        <w:contextualSpacing/>
      </w:pPr>
      <w:r w:rsidRPr="00D471BF">
        <w:rPr>
          <w:rFonts w:eastAsia="Times New Roman"/>
        </w:rPr>
        <w:t xml:space="preserve">Podobieństwa i różnice w postępowaniach prowadzonych w ramach </w:t>
      </w:r>
      <w:proofErr w:type="spellStart"/>
      <w:r w:rsidRPr="00D471BF">
        <w:rPr>
          <w:rFonts w:eastAsia="Times New Roman"/>
        </w:rPr>
        <w:t>Pzp</w:t>
      </w:r>
      <w:proofErr w:type="spellEnd"/>
      <w:r w:rsidRPr="00D471BF">
        <w:rPr>
          <w:rFonts w:eastAsia="Times New Roman"/>
        </w:rPr>
        <w:t xml:space="preserve"> i Zasady konkurencyjności w odniesieniu do wymierzania korekt finansowych (taryfikator korekt</w:t>
      </w:r>
      <w:r w:rsidR="00295934">
        <w:rPr>
          <w:rFonts w:eastAsia="Times New Roman"/>
        </w:rPr>
        <w:t>)</w:t>
      </w:r>
      <w:r w:rsidRPr="00D471BF">
        <w:rPr>
          <w:rFonts w:eastAsia="Times New Roman"/>
        </w:rPr>
        <w:t xml:space="preserve">, w  tym </w:t>
      </w:r>
      <w:r w:rsidRPr="00D471BF">
        <w:t>podkategorie nieprawidłowości, proporcjonalność i precyzyjność stawek.</w:t>
      </w:r>
    </w:p>
    <w:p w14:paraId="41C39AF8" w14:textId="77777777" w:rsidR="00D471BF" w:rsidRPr="00D471BF" w:rsidRDefault="00D471BF" w:rsidP="00295934">
      <w:pPr>
        <w:pStyle w:val="Akapitzlist"/>
        <w:numPr>
          <w:ilvl w:val="0"/>
          <w:numId w:val="45"/>
        </w:numPr>
        <w:contextualSpacing/>
      </w:pPr>
      <w:r w:rsidRPr="00D471BF">
        <w:t xml:space="preserve">Konflikt interesów w świetle ustawy </w:t>
      </w:r>
      <w:proofErr w:type="spellStart"/>
      <w:r w:rsidRPr="00D471BF">
        <w:t>Pzp</w:t>
      </w:r>
      <w:proofErr w:type="spellEnd"/>
      <w:r w:rsidRPr="00D471BF">
        <w:t xml:space="preserve"> oraz Wytycznych </w:t>
      </w:r>
    </w:p>
    <w:p w14:paraId="41D21345" w14:textId="77777777" w:rsidR="00D471BF" w:rsidRPr="00D471BF" w:rsidRDefault="00D471BF" w:rsidP="00295934">
      <w:pPr>
        <w:pStyle w:val="Akapitzlist"/>
        <w:contextualSpacing/>
      </w:pPr>
    </w:p>
    <w:p w14:paraId="081CE3BB" w14:textId="77777777" w:rsidR="00D471BF" w:rsidRPr="00D471BF" w:rsidRDefault="00D471BF" w:rsidP="00295934">
      <w:pPr>
        <w:pStyle w:val="Akapitzlist"/>
      </w:pPr>
      <w:r w:rsidRPr="00D471BF">
        <w:t>- Unijne i krajowe przepisy regulujące tematykę konfliktu interesów.</w:t>
      </w:r>
    </w:p>
    <w:p w14:paraId="575922EC" w14:textId="77777777" w:rsidR="00D471BF" w:rsidRPr="00D471BF" w:rsidRDefault="00D471BF" w:rsidP="00295934">
      <w:pPr>
        <w:pStyle w:val="Akapitzlist"/>
        <w:rPr>
          <w:rFonts w:eastAsia="Times New Roman"/>
        </w:rPr>
      </w:pPr>
      <w:r w:rsidRPr="00D471BF">
        <w:rPr>
          <w:rFonts w:eastAsia="Times New Roman"/>
        </w:rPr>
        <w:t>- Zmiany dotyczące badania konfliktu interesów z wykonawcą/podwykonawcą – nowe sytuacje powodujące wyłączenie osoby prowadzącej postępowanie,</w:t>
      </w:r>
    </w:p>
    <w:p w14:paraId="119D9519" w14:textId="77777777" w:rsidR="00D471BF" w:rsidRPr="00D471BF" w:rsidRDefault="00D471BF" w:rsidP="00295934">
      <w:pPr>
        <w:pStyle w:val="Akapitzlist"/>
      </w:pPr>
      <w:r w:rsidRPr="00D471BF">
        <w:t>- Relacje wywołujące konflikt. Specyfika zamówień publicznych i relacji zamawiający – wykonawca.</w:t>
      </w:r>
    </w:p>
    <w:p w14:paraId="656D9FFE" w14:textId="77777777" w:rsidR="00D471BF" w:rsidRPr="00D471BF" w:rsidRDefault="00D471BF" w:rsidP="00295934">
      <w:pPr>
        <w:pStyle w:val="Akapitzlist"/>
      </w:pPr>
      <w:r w:rsidRPr="00D471BF">
        <w:t>- Procedury wyłączenia pracownika ze względu na konflikt interesów i przestępstwa korupcyjne.</w:t>
      </w:r>
    </w:p>
    <w:p w14:paraId="399FD127" w14:textId="77777777" w:rsidR="00D471BF" w:rsidRPr="00D471BF" w:rsidRDefault="00D471BF" w:rsidP="00295934">
      <w:pPr>
        <w:pStyle w:val="Akapitzlist"/>
      </w:pPr>
      <w:r w:rsidRPr="00D471BF">
        <w:t>- Metody weryfikacji wystąpienia konfliktu interesów przez organy kontrolne.</w:t>
      </w:r>
    </w:p>
    <w:p w14:paraId="58ABC37A" w14:textId="48A5D5CA" w:rsidR="00D471BF" w:rsidRDefault="00D471BF" w:rsidP="00295934">
      <w:pPr>
        <w:pStyle w:val="Akapitzlist"/>
      </w:pPr>
      <w:r w:rsidRPr="00D471BF">
        <w:t>- Przykłady nieprawidłowości w obszarze wystąpienia konfliktu interesów.</w:t>
      </w:r>
    </w:p>
    <w:p w14:paraId="1BB48940" w14:textId="77777777" w:rsidR="00295934" w:rsidRDefault="00295934" w:rsidP="00295934">
      <w:pPr>
        <w:pStyle w:val="Akapitzlist"/>
      </w:pPr>
    </w:p>
    <w:p w14:paraId="495EF3E7" w14:textId="77777777" w:rsidR="00295934" w:rsidRPr="00D471BF" w:rsidRDefault="00295934" w:rsidP="00295934">
      <w:pPr>
        <w:pStyle w:val="Akapitzlist"/>
        <w:rPr>
          <w:rStyle w:val="Pogrubienie"/>
          <w:b w:val="0"/>
          <w:bCs w:val="0"/>
        </w:rPr>
      </w:pPr>
    </w:p>
    <w:p w14:paraId="2E3C30D0" w14:textId="7759DB9E" w:rsidR="00836628" w:rsidRDefault="00836628" w:rsidP="008366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42534649" w14:textId="77777777" w:rsidR="00836628" w:rsidRPr="005B0AB9" w:rsidRDefault="00836628" w:rsidP="0083662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0FBC3571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425AD823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32229760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7415FD7C" w14:textId="70E2B833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7540F4DA" w14:textId="77777777" w:rsidR="00224865" w:rsidRDefault="00224865" w:rsidP="00224865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4621311" w14:textId="4F848180" w:rsidR="00224865" w:rsidRDefault="00224865" w:rsidP="00224865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7A407C1B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16E61192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33CC7F6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1DCFEB81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4C8A841C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78FB149D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0A01027A" w14:textId="77777777" w:rsidR="00D471BF" w:rsidRDefault="00D471BF" w:rsidP="00D471BF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79AFA5D" w14:textId="29C47321" w:rsidR="00224865" w:rsidRPr="00C4439E" w:rsidRDefault="00224865" w:rsidP="00D471BF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3370F65D" w14:textId="77777777" w:rsidR="002F76CE" w:rsidRPr="003A55CF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039AB629" w14:textId="77777777" w:rsidR="00D832C6" w:rsidRPr="003B6F1D" w:rsidRDefault="00D832C6" w:rsidP="00D832C6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Ocenie będą podlegały oferty ważne tj. oferty niepodlegające odrzuceniu ze względu na niespełnienie wymagań.</w:t>
      </w:r>
    </w:p>
    <w:p w14:paraId="614B05E1" w14:textId="77777777" w:rsidR="00D832C6" w:rsidRPr="003B6F1D" w:rsidRDefault="00D832C6" w:rsidP="00D832C6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Oferta która wpłynie po terminie nie będzie rozpatrywana.</w:t>
      </w:r>
    </w:p>
    <w:p w14:paraId="162D716A" w14:textId="77777777" w:rsidR="00D832C6" w:rsidRPr="003B6F1D" w:rsidRDefault="00D832C6" w:rsidP="00D832C6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 celu zapewnienia porównywalności wszystkich ofert, Zamawiający zastrzega sobie prawo do skontaktowania się z właściwymi Wykonawcami, w celu uzupełnienia lub doprecyzowania ofert.</w:t>
      </w:r>
    </w:p>
    <w:p w14:paraId="6864BFD4" w14:textId="77777777" w:rsidR="00D832C6" w:rsidRDefault="00D832C6" w:rsidP="00D832C6">
      <w:pPr>
        <w:pStyle w:val="Akapitzlist"/>
        <w:numPr>
          <w:ilvl w:val="0"/>
          <w:numId w:val="41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Przy ocenie ofert Zamawiający będzie brał pod uwagę kryteria takie jak: </w:t>
      </w:r>
    </w:p>
    <w:p w14:paraId="7C201D6D" w14:textId="77777777" w:rsidR="00D832C6" w:rsidRPr="00FC2AC7" w:rsidRDefault="00D832C6" w:rsidP="00D832C6">
      <w:pPr>
        <w:pStyle w:val="NormalnyWeb"/>
        <w:ind w:left="1440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7715D0A3" w14:textId="77777777" w:rsidR="00D832C6" w:rsidRDefault="00D832C6" w:rsidP="00D832C6">
      <w:pPr>
        <w:pStyle w:val="NormalnyWeb"/>
        <w:ind w:left="360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14:paraId="1AF1E8BD" w14:textId="77777777" w:rsidR="00D832C6" w:rsidRPr="00CD1681" w:rsidRDefault="00D832C6" w:rsidP="00D832C6">
      <w:pPr>
        <w:ind w:left="1416" w:firstLine="360"/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CD1681">
        <w:rPr>
          <w:rFonts w:asciiTheme="minorHAnsi" w:eastAsia="Times New Roman" w:hAnsiTheme="minorHAnsi" w:cstheme="minorHAnsi"/>
          <w:bCs/>
          <w:color w:val="212121"/>
        </w:rPr>
        <w:t xml:space="preserve">W kryterium cena maksymalna liczba punktów może wynosić 55, a liczba punktów przyznana danej ofercie zostanie obliczona według podanego poniżej wzoru i zaokrąglona do dwóch miejsc po przecinku. </w:t>
      </w:r>
    </w:p>
    <w:p w14:paraId="4D7A6750" w14:textId="77777777" w:rsidR="00D832C6" w:rsidRPr="00CD1681" w:rsidRDefault="00D832C6" w:rsidP="00D832C6">
      <w:pPr>
        <w:ind w:left="1416"/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Cmin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/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Cx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) x 55</w:t>
      </w:r>
    </w:p>
    <w:p w14:paraId="6BDA3AEE" w14:textId="77777777" w:rsidR="00D832C6" w:rsidRPr="00CD1681" w:rsidRDefault="00D832C6" w:rsidP="00D832C6">
      <w:pPr>
        <w:ind w:left="1416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</w:t>
      </w: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gdzie :</w:t>
      </w:r>
    </w:p>
    <w:p w14:paraId="2E13B89E" w14:textId="77777777" w:rsidR="00D832C6" w:rsidRPr="00CD1681" w:rsidRDefault="00D832C6" w:rsidP="00D832C6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lastRenderedPageBreak/>
        <w:t>C- liczba punktów przyznana badanej ofercie</w:t>
      </w:r>
    </w:p>
    <w:p w14:paraId="459E5E7D" w14:textId="77777777" w:rsidR="00D832C6" w:rsidRPr="00CD1681" w:rsidRDefault="00D832C6" w:rsidP="00D832C6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Cmin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- najniższa cena spośród ważnych ofert</w:t>
      </w:r>
    </w:p>
    <w:p w14:paraId="679BBA20" w14:textId="77777777" w:rsidR="00D832C6" w:rsidRPr="00CD1681" w:rsidRDefault="00D832C6" w:rsidP="00D832C6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Cx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– cena badanej oferty wyliczona zgodnie ze wskazaniem Zamawiającego, tj. stawka za 1 osobę x liczba osób</w:t>
      </w:r>
    </w:p>
    <w:p w14:paraId="5C4039DC" w14:textId="77777777" w:rsidR="00D832C6" w:rsidRPr="00422287" w:rsidRDefault="00D832C6" w:rsidP="00D832C6">
      <w:pPr>
        <w:pStyle w:val="NormalnyWeb"/>
        <w:ind w:left="360"/>
        <w:jc w:val="both"/>
        <w:rPr>
          <w:rStyle w:val="Pogrubienie"/>
          <w:color w:val="212121"/>
        </w:rPr>
      </w:pPr>
    </w:p>
    <w:p w14:paraId="26F89DC4" w14:textId="77777777" w:rsidR="00D832C6" w:rsidRPr="00FA656E" w:rsidRDefault="00D832C6" w:rsidP="001F7719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–</w:t>
      </w:r>
      <w:r w:rsidRPr="00FA65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2AC930CF" w14:textId="77777777" w:rsidR="00D832C6" w:rsidRPr="00CD1681" w:rsidRDefault="00D832C6" w:rsidP="00D832C6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03624F6B" w14:textId="77777777" w:rsidR="00D832C6" w:rsidRPr="009438AC" w:rsidRDefault="00D832C6" w:rsidP="001F7719">
      <w:pPr>
        <w:jc w:val="both"/>
        <w:rPr>
          <w:rFonts w:eastAsia="Calibri"/>
          <w:lang w:eastAsia="ar-SA"/>
        </w:rPr>
      </w:pPr>
      <w:r w:rsidRPr="009438AC">
        <w:rPr>
          <w:rFonts w:eastAsia="Calibri"/>
          <w:lang w:eastAsia="ar-SA"/>
        </w:rPr>
        <w:t>W kryterium doświadczenie trenera maksymalna liczba punktów może wynosić 45, a liczba punktów przyznana danej ofercie zostanie obliczona według podanego poniżej wzoru i zaokrąglona do dwóch miejsc po przecinku:</w:t>
      </w:r>
    </w:p>
    <w:p w14:paraId="6D8D63A8" w14:textId="77777777" w:rsidR="00D832C6" w:rsidRPr="00CD1681" w:rsidRDefault="00D832C6" w:rsidP="00D832C6">
      <w:pPr>
        <w:ind w:left="1416"/>
        <w:jc w:val="both"/>
        <w:rPr>
          <w:rFonts w:asciiTheme="minorHAnsi" w:hAnsiTheme="minorHAnsi" w:cstheme="minorHAnsi"/>
          <w:bCs/>
          <w:color w:val="212121"/>
        </w:rPr>
      </w:pPr>
    </w:p>
    <w:p w14:paraId="64350F2D" w14:textId="77777777" w:rsidR="00D832C6" w:rsidRPr="00CD1681" w:rsidRDefault="00D832C6" w:rsidP="00D832C6">
      <w:pPr>
        <w:ind w:left="1068"/>
        <w:jc w:val="center"/>
        <w:rPr>
          <w:rFonts w:asciiTheme="minorHAnsi" w:hAnsiTheme="minorHAnsi" w:cstheme="minorHAnsi"/>
          <w:b/>
          <w:bCs/>
          <w:color w:val="212121"/>
        </w:rPr>
      </w:pPr>
      <w:r w:rsidRPr="00CD1681">
        <w:rPr>
          <w:rFonts w:asciiTheme="minorHAnsi" w:hAnsiTheme="minorHAnsi" w:cstheme="minorHAnsi"/>
          <w:b/>
          <w:bCs/>
          <w:color w:val="212121"/>
        </w:rPr>
        <w:t>D = (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/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Dmax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) x 45</w:t>
      </w:r>
    </w:p>
    <w:p w14:paraId="629427F5" w14:textId="77777777" w:rsidR="00D832C6" w:rsidRPr="00CD1681" w:rsidRDefault="00D832C6" w:rsidP="00D832C6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gdzie:</w:t>
      </w:r>
    </w:p>
    <w:p w14:paraId="68CDD072" w14:textId="77777777" w:rsidR="00D832C6" w:rsidRPr="00CD1681" w:rsidRDefault="00D832C6" w:rsidP="00D832C6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– liczba punktów przyznana badanej ofercie</w:t>
      </w:r>
    </w:p>
    <w:p w14:paraId="3AC29B94" w14:textId="77777777" w:rsidR="00D832C6" w:rsidRPr="00CD1681" w:rsidRDefault="00D832C6" w:rsidP="00D832C6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56D74166" w14:textId="77777777" w:rsidR="00D832C6" w:rsidRDefault="00D832C6" w:rsidP="00D832C6">
      <w:pPr>
        <w:ind w:left="1428" w:firstLine="360"/>
        <w:jc w:val="both"/>
        <w:rPr>
          <w:bCs/>
          <w:color w:val="212121"/>
          <w:sz w:val="18"/>
          <w:szCs w:val="18"/>
        </w:rPr>
      </w:pPr>
      <w:proofErr w:type="spellStart"/>
      <w:r w:rsidRPr="00CD1681">
        <w:rPr>
          <w:bCs/>
          <w:color w:val="212121"/>
          <w:sz w:val="18"/>
          <w:szCs w:val="18"/>
        </w:rPr>
        <w:t>D</w:t>
      </w:r>
      <w:r w:rsidRPr="00CD1681">
        <w:rPr>
          <w:bCs/>
          <w:color w:val="212121"/>
          <w:sz w:val="16"/>
          <w:szCs w:val="16"/>
        </w:rPr>
        <w:t>x</w:t>
      </w:r>
      <w:proofErr w:type="spellEnd"/>
      <w:r w:rsidRPr="00CD1681">
        <w:rPr>
          <w:bCs/>
          <w:color w:val="212121"/>
          <w:sz w:val="16"/>
          <w:szCs w:val="16"/>
        </w:rPr>
        <w:t xml:space="preserve"> - </w:t>
      </w:r>
      <w:r w:rsidRPr="00CD1681">
        <w:rPr>
          <w:bCs/>
          <w:color w:val="212121"/>
          <w:sz w:val="18"/>
          <w:szCs w:val="18"/>
        </w:rPr>
        <w:t xml:space="preserve"> liczba punktów przyznana trenerowi wykazanemu w badanej ofercie </w:t>
      </w:r>
    </w:p>
    <w:p w14:paraId="1AF4CE95" w14:textId="77777777" w:rsidR="00D832C6" w:rsidRPr="00CD1681" w:rsidRDefault="00D832C6" w:rsidP="00D832C6">
      <w:pPr>
        <w:ind w:left="720" w:firstLine="360"/>
        <w:jc w:val="both"/>
        <w:rPr>
          <w:bCs/>
          <w:color w:val="212121"/>
          <w:sz w:val="18"/>
          <w:szCs w:val="18"/>
        </w:rPr>
      </w:pPr>
    </w:p>
    <w:p w14:paraId="3CA5EC84" w14:textId="77777777" w:rsidR="00D832C6" w:rsidRPr="00CD1681" w:rsidRDefault="00D832C6" w:rsidP="00D832C6">
      <w:pPr>
        <w:ind w:left="720"/>
        <w:jc w:val="both"/>
        <w:rPr>
          <w:rFonts w:asciiTheme="minorHAnsi" w:hAnsiTheme="minorHAnsi" w:cstheme="minorHAnsi"/>
          <w:color w:val="212121"/>
        </w:rPr>
      </w:pPr>
    </w:p>
    <w:p w14:paraId="446F5B3F" w14:textId="77777777" w:rsidR="00D832C6" w:rsidRPr="009438AC" w:rsidRDefault="00D832C6" w:rsidP="00D832C6">
      <w:pPr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Wykonawca może otrzymać maksymalnie 100 punktów liczonych jako suma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>ach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 xml:space="preserve">: cena przeprowadzenia szkolenia  i  doświadczenie trenera. </w:t>
      </w:r>
    </w:p>
    <w:p w14:paraId="7F0C4AD0" w14:textId="77777777" w:rsidR="00D832C6" w:rsidRPr="009438AC" w:rsidRDefault="00D832C6" w:rsidP="00D832C6">
      <w:pPr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Za najwyżej ocenioną zostanie uznana oferta, która uzyskała najwyższą liczbę punktów – sumę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ach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cena przeprowadzenia szkolenia  i  doświadczenie trenera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 oparciu o podane w niniejszym zapytaniu ofertowym kryteria oceny ofert.</w:t>
      </w:r>
    </w:p>
    <w:p w14:paraId="159EFFFB" w14:textId="77777777" w:rsidR="00D832C6" w:rsidRPr="006433C7" w:rsidRDefault="00D832C6" w:rsidP="00D832C6">
      <w:pPr>
        <w:ind w:left="1416"/>
        <w:jc w:val="both"/>
        <w:rPr>
          <w:rFonts w:eastAsia="Calibri"/>
          <w:bCs/>
          <w:lang w:eastAsia="ar-SA"/>
        </w:rPr>
      </w:pPr>
    </w:p>
    <w:p w14:paraId="0FCF01C0" w14:textId="77777777" w:rsidR="00D832C6" w:rsidRPr="006433C7" w:rsidRDefault="00D832C6" w:rsidP="00D832C6">
      <w:p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Jeżeli dwie lub więcej ofert uzyska taką samą liczbę punktów Zamawiający za najwyżej ocenioną uzna ofertę, która zawiera najniższą cenę (która uzyskała najwięcej punktów w kryterium: cena przeprowadzenia szkolenia.</w:t>
      </w:r>
    </w:p>
    <w:p w14:paraId="1382D3C2" w14:textId="77777777" w:rsidR="00D832C6" w:rsidRDefault="00D832C6" w:rsidP="00D832C6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FC3FF51" w14:textId="77777777" w:rsidR="00BC07C2" w:rsidRDefault="00BC07C2" w:rsidP="00D832C6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0A1C82" w14:textId="77777777" w:rsidR="00BC07C2" w:rsidRDefault="00BC07C2" w:rsidP="00BC07C2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54925A10" w14:textId="4874643A" w:rsidR="000920AC" w:rsidRDefault="000920AC" w:rsidP="006433C7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7FC1ED8" w14:textId="77777777" w:rsidR="00295934" w:rsidRPr="006433C7" w:rsidRDefault="00295934" w:rsidP="006433C7">
      <w:pPr>
        <w:ind w:left="720"/>
        <w:jc w:val="both"/>
        <w:rPr>
          <w:rFonts w:eastAsia="Calibri"/>
          <w:lang w:eastAsia="ar-SA"/>
        </w:rPr>
      </w:pPr>
    </w:p>
    <w:p w14:paraId="0D95E90A" w14:textId="77777777" w:rsidR="000920AC" w:rsidRPr="006433C7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4B19D436" w14:textId="423C22B1" w:rsidR="000920AC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 xml:space="preserve">minimum 3 -  letnie, udokumentowane doświadczenie w prowadzeniu szkoleń z zakresu </w:t>
      </w:r>
      <w:r w:rsidR="00D471BF">
        <w:rPr>
          <w:rFonts w:eastAsia="Calibri"/>
          <w:lang w:eastAsia="ar-SA"/>
        </w:rPr>
        <w:t>zamówień publicznych</w:t>
      </w:r>
      <w:r w:rsidRPr="006433C7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D471BF">
        <w:rPr>
          <w:rFonts w:eastAsia="Calibri"/>
          <w:lang w:eastAsia="ar-SA"/>
        </w:rPr>
        <w:t>30</w:t>
      </w:r>
      <w:r w:rsidRPr="006433C7">
        <w:rPr>
          <w:rFonts w:eastAsia="Calibri"/>
          <w:lang w:eastAsia="ar-SA"/>
        </w:rPr>
        <w:t xml:space="preserve"> szkoleń z </w:t>
      </w:r>
      <w:r w:rsidR="000135A5">
        <w:rPr>
          <w:rFonts w:eastAsia="Calibri"/>
          <w:lang w:eastAsia="ar-SA"/>
        </w:rPr>
        <w:t xml:space="preserve">zakresu </w:t>
      </w:r>
      <w:r w:rsidR="00D471BF">
        <w:rPr>
          <w:rFonts w:eastAsia="Calibri"/>
          <w:lang w:eastAsia="ar-SA"/>
        </w:rPr>
        <w:t>zamówień publicznych</w:t>
      </w:r>
      <w:r w:rsidR="000135A5">
        <w:rPr>
          <w:rFonts w:eastAsia="Calibri"/>
          <w:lang w:eastAsia="ar-SA"/>
        </w:rPr>
        <w:t xml:space="preserve"> </w:t>
      </w:r>
      <w:r w:rsidRPr="006433C7">
        <w:rPr>
          <w:rFonts w:eastAsia="Calibri"/>
          <w:lang w:eastAsia="ar-SA"/>
        </w:rPr>
        <w:t>dla co najmniej 10 osobowych grup uczestników.</w:t>
      </w:r>
    </w:p>
    <w:p w14:paraId="02672124" w14:textId="77777777" w:rsidR="00295934" w:rsidRDefault="00295934" w:rsidP="00295934">
      <w:pPr>
        <w:pStyle w:val="Akapitzlist"/>
        <w:ind w:left="1440"/>
        <w:jc w:val="both"/>
        <w:rPr>
          <w:rFonts w:eastAsia="Calibri"/>
          <w:lang w:eastAsia="ar-SA"/>
        </w:rPr>
      </w:pPr>
    </w:p>
    <w:p w14:paraId="268C0A2E" w14:textId="77777777" w:rsidR="005F7C28" w:rsidRPr="005F7C28" w:rsidRDefault="005F7C28" w:rsidP="005F7C28">
      <w:pPr>
        <w:jc w:val="both"/>
        <w:rPr>
          <w:rFonts w:eastAsia="Calibri"/>
          <w:lang w:eastAsia="ar-SA"/>
        </w:rPr>
      </w:pPr>
    </w:p>
    <w:p w14:paraId="1CC49544" w14:textId="77777777" w:rsidR="005F7C28" w:rsidRPr="003B6F1D" w:rsidRDefault="005F7C28" w:rsidP="005F7C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045E24C0" w14:textId="1ACB03CC" w:rsidR="00D471BF" w:rsidRPr="00D471BF" w:rsidRDefault="005F7C28" w:rsidP="00D471BF">
      <w:pPr>
        <w:ind w:firstLine="360"/>
        <w:jc w:val="both"/>
        <w:rPr>
          <w:rFonts w:eastAsia="Calibri"/>
          <w:lang w:eastAsia="ar-SA"/>
        </w:rPr>
      </w:pPr>
      <w:r w:rsidRPr="00D471BF">
        <w:rPr>
          <w:rFonts w:asciiTheme="minorHAnsi" w:hAnsiTheme="minorHAnsi" w:cstheme="minorHAnsi"/>
        </w:rPr>
        <w:t xml:space="preserve">Wykaz osób, które będą uczestniczyć w wykonywaniu zamówienia: 1 osoba ekspert praktyk posiadający minimum 3 -  letnie, </w:t>
      </w:r>
      <w:r w:rsidR="00D471BF" w:rsidRPr="00D471BF">
        <w:rPr>
          <w:rFonts w:asciiTheme="minorHAnsi" w:hAnsiTheme="minorHAnsi" w:cstheme="minorHAnsi"/>
        </w:rPr>
        <w:t xml:space="preserve"> </w:t>
      </w:r>
      <w:r w:rsidR="00D471BF" w:rsidRPr="00D471BF">
        <w:rPr>
          <w:rFonts w:eastAsia="Calibri"/>
          <w:lang w:eastAsia="ar-SA"/>
        </w:rPr>
        <w:t>udokumentowane doświadczenie w prowadzeniu szkoleń z zakresu zamówień publicznych, tj. prowadzenie osobiście jako trener w ciągu ostatnich 3 lat przed upływem terminu składania ofert, co najmniej 30 szkoleń z zakresu zamówień publicznych dla co najmniej 10 osobowych grup uczestników.</w:t>
      </w:r>
    </w:p>
    <w:p w14:paraId="0A4F3C2F" w14:textId="2AB47C85" w:rsidR="005F7C28" w:rsidRPr="00C4439E" w:rsidRDefault="005F7C28" w:rsidP="00C4439E">
      <w:pPr>
        <w:ind w:left="708"/>
        <w:jc w:val="both"/>
        <w:rPr>
          <w:rFonts w:eastAsia="Calibri"/>
          <w:lang w:eastAsia="ar-SA"/>
        </w:rPr>
      </w:pPr>
    </w:p>
    <w:p w14:paraId="1CF64CDA" w14:textId="77777777" w:rsidR="00BC07C2" w:rsidRPr="00795A9D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3163E1" w14:textId="1278E95E" w:rsidR="009E1B23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F0634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 </w:t>
      </w:r>
      <w:r w:rsidR="00D471BF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26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os</w:t>
      </w:r>
      <w:r w:rsidR="007801A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295934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22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295934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oby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19995" w14:textId="2867E9AB" w:rsidR="00DC5AEC" w:rsidRPr="005B0AB9" w:rsidRDefault="005D742C" w:rsidP="00DC5AE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1" w:name="_Hlk99012015"/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lastRenderedPageBreak/>
        <w:t>Czas trwania szkolenia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Dwa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szkolenia dwudniowe (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grupy szkoleniowe x 2 dni)  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powinien obejmować co najmniej 8 godzin szkoleniowych, z trzema przerwami; godzina szkoleniowa = 45 min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295934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295934"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59ADCE5B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30574C2" w14:textId="377732A2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u w:val="single"/>
        </w:rPr>
        <w:t>Terminy szkoleń: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 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12.11-12.12.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r.</w:t>
      </w:r>
    </w:p>
    <w:p w14:paraId="435D17F5" w14:textId="77777777" w:rsidR="005D742C" w:rsidRPr="005B0AB9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22F1D7D1" w:rsidR="005D742C" w:rsidRPr="005B0AB9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Proszę o przesłanie oferty mailem na adres</w:t>
      </w:r>
      <w:r w:rsidR="001F7690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5B0AB9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D832C6">
        <w:rPr>
          <w:rFonts w:asciiTheme="minorHAnsi" w:hAnsiTheme="minorHAnsi" w:cstheme="minorHAnsi"/>
          <w:b/>
          <w:bCs/>
          <w:color w:val="212121"/>
          <w:sz w:val="22"/>
          <w:szCs w:val="22"/>
        </w:rPr>
        <w:t>5 listopada</w:t>
      </w:r>
      <w:r w:rsidR="002F76CE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F7690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r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Nieprawidłowości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  <w:r w:rsidR="0003280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2EF7142F" w14:textId="77777777" w:rsidR="00C4439E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22E89BAF" w14:textId="525DA49F" w:rsidR="00C4439E" w:rsidRPr="003B6F1D" w:rsidRDefault="00C4439E" w:rsidP="00C4439E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  <w:r w:rsidR="002F76CE">
        <w:rPr>
          <w:rFonts w:asciiTheme="minorHAnsi" w:hAnsiTheme="minorHAnsi" w:cstheme="minorHAnsi"/>
          <w:b/>
          <w:bCs/>
        </w:rPr>
        <w:t>:</w:t>
      </w:r>
    </w:p>
    <w:p w14:paraId="733E9A79" w14:textId="77777777" w:rsidR="00C4439E" w:rsidRDefault="00C4439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51ADA8D6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Proszę o określenie w ofercie jednostkowego kosztu udziału w szkoleniu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 (na 1 uczestnika) oraz </w:t>
      </w: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łącznego kosztu szkolenia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D231A9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138B496" w14:textId="6A7DCA99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96B490F" w14:textId="77777777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47206BF0" w14:textId="427EE6DB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Szkolenie jest finansowane w całości ze środków publicznych, stanowi element kształcenia zawodowego.</w:t>
      </w:r>
    </w:p>
    <w:p w14:paraId="41D9BA71" w14:textId="77777777" w:rsidR="002F76CE" w:rsidRPr="005B0AB9" w:rsidRDefault="002F76CE" w:rsidP="002F76CE">
      <w:pPr>
        <w:spacing w:line="276" w:lineRule="auto"/>
        <w:rPr>
          <w:rFonts w:asciiTheme="minorHAnsi" w:hAnsiTheme="minorHAnsi" w:cstheme="minorHAnsi"/>
        </w:rPr>
      </w:pPr>
    </w:p>
    <w:p w14:paraId="3AA8C25C" w14:textId="77777777" w:rsidR="002F76CE" w:rsidRPr="003B6F1D" w:rsidRDefault="002F76C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004E4472" w14:textId="77777777" w:rsidR="00C4439E" w:rsidRPr="003A55CF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bookmarkEnd w:id="1"/>
    <w:p w14:paraId="10A3B2F9" w14:textId="77777777" w:rsidR="005D742C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B6A"/>
    <w:multiLevelType w:val="hybridMultilevel"/>
    <w:tmpl w:val="ECEE2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64B"/>
    <w:multiLevelType w:val="hybridMultilevel"/>
    <w:tmpl w:val="635C1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058E9"/>
    <w:multiLevelType w:val="multilevel"/>
    <w:tmpl w:val="6CAA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C55AA"/>
    <w:multiLevelType w:val="multilevel"/>
    <w:tmpl w:val="5F1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025F"/>
    <w:multiLevelType w:val="multilevel"/>
    <w:tmpl w:val="5352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B101AC"/>
    <w:multiLevelType w:val="hybridMultilevel"/>
    <w:tmpl w:val="931E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F149C"/>
    <w:multiLevelType w:val="hybridMultilevel"/>
    <w:tmpl w:val="1DE0728C"/>
    <w:lvl w:ilvl="0" w:tplc="F252D0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80738"/>
    <w:multiLevelType w:val="hybridMultilevel"/>
    <w:tmpl w:val="A136FF82"/>
    <w:lvl w:ilvl="0" w:tplc="0DDC16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3453"/>
    <w:multiLevelType w:val="hybridMultilevel"/>
    <w:tmpl w:val="88801E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33FD7"/>
    <w:multiLevelType w:val="hybridMultilevel"/>
    <w:tmpl w:val="CF0A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55FC"/>
    <w:multiLevelType w:val="multilevel"/>
    <w:tmpl w:val="D8F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83FDC"/>
    <w:multiLevelType w:val="multilevel"/>
    <w:tmpl w:val="54D2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751C"/>
    <w:multiLevelType w:val="hybridMultilevel"/>
    <w:tmpl w:val="F9C2500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F341254"/>
    <w:multiLevelType w:val="multilevel"/>
    <w:tmpl w:val="CB4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797BB4"/>
    <w:multiLevelType w:val="hybridMultilevel"/>
    <w:tmpl w:val="FDD0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6" w15:restartNumberingAfterBreak="0">
    <w:nsid w:val="7224215A"/>
    <w:multiLevelType w:val="hybridMultilevel"/>
    <w:tmpl w:val="B29ED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1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28"/>
  </w:num>
  <w:num w:numId="6" w16cid:durableId="1344432935">
    <w:abstractNumId w:val="9"/>
  </w:num>
  <w:num w:numId="7" w16cid:durableId="1166362402">
    <w:abstractNumId w:val="1"/>
  </w:num>
  <w:num w:numId="8" w16cid:durableId="937983379">
    <w:abstractNumId w:val="37"/>
  </w:num>
  <w:num w:numId="9" w16cid:durableId="4869309">
    <w:abstractNumId w:val="3"/>
  </w:num>
  <w:num w:numId="10" w16cid:durableId="2119442490">
    <w:abstractNumId w:val="8"/>
  </w:num>
  <w:num w:numId="11" w16cid:durableId="345140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34"/>
  </w:num>
  <w:num w:numId="15" w16cid:durableId="1610771716">
    <w:abstractNumId w:val="33"/>
  </w:num>
  <w:num w:numId="16" w16cid:durableId="1581258778">
    <w:abstractNumId w:val="5"/>
  </w:num>
  <w:num w:numId="17" w16cid:durableId="2136872593">
    <w:abstractNumId w:val="40"/>
  </w:num>
  <w:num w:numId="18" w16cid:durableId="914054673">
    <w:abstractNumId w:val="12"/>
  </w:num>
  <w:num w:numId="19" w16cid:durableId="1432044109">
    <w:abstractNumId w:val="22"/>
  </w:num>
  <w:num w:numId="20" w16cid:durableId="777262101">
    <w:abstractNumId w:val="6"/>
  </w:num>
  <w:num w:numId="21" w16cid:durableId="284164984">
    <w:abstractNumId w:val="35"/>
  </w:num>
  <w:num w:numId="22" w16cid:durableId="877400409">
    <w:abstractNumId w:val="14"/>
  </w:num>
  <w:num w:numId="23" w16cid:durableId="1460949115">
    <w:abstractNumId w:val="38"/>
  </w:num>
  <w:num w:numId="24" w16cid:durableId="1829205950">
    <w:abstractNumId w:val="39"/>
  </w:num>
  <w:num w:numId="25" w16cid:durableId="1821841934">
    <w:abstractNumId w:val="20"/>
  </w:num>
  <w:num w:numId="26" w16cid:durableId="993803538">
    <w:abstractNumId w:val="16"/>
  </w:num>
  <w:num w:numId="27" w16cid:durableId="239565480">
    <w:abstractNumId w:val="29"/>
  </w:num>
  <w:num w:numId="28" w16cid:durableId="336857653">
    <w:abstractNumId w:val="41"/>
  </w:num>
  <w:num w:numId="29" w16cid:durableId="1628702874">
    <w:abstractNumId w:val="17"/>
  </w:num>
  <w:num w:numId="30" w16cid:durableId="1753895841">
    <w:abstractNumId w:val="2"/>
  </w:num>
  <w:num w:numId="31" w16cid:durableId="1177382645">
    <w:abstractNumId w:val="42"/>
  </w:num>
  <w:num w:numId="32" w16cid:durableId="1241065422">
    <w:abstractNumId w:val="15"/>
  </w:num>
  <w:num w:numId="33" w16cid:durableId="481701171">
    <w:abstractNumId w:val="27"/>
  </w:num>
  <w:num w:numId="34" w16cid:durableId="865293526">
    <w:abstractNumId w:val="13"/>
  </w:num>
  <w:num w:numId="35" w16cid:durableId="1265921150">
    <w:abstractNumId w:val="26"/>
  </w:num>
  <w:num w:numId="36" w16cid:durableId="1663655300">
    <w:abstractNumId w:val="31"/>
  </w:num>
  <w:num w:numId="37" w16cid:durableId="946539929">
    <w:abstractNumId w:val="25"/>
  </w:num>
  <w:num w:numId="38" w16cid:durableId="191308147">
    <w:abstractNumId w:val="32"/>
  </w:num>
  <w:num w:numId="39" w16cid:durableId="2049991251">
    <w:abstractNumId w:val="30"/>
  </w:num>
  <w:num w:numId="40" w16cid:durableId="667631350">
    <w:abstractNumId w:val="11"/>
  </w:num>
  <w:num w:numId="41" w16cid:durableId="110246395">
    <w:abstractNumId w:val="0"/>
  </w:num>
  <w:num w:numId="42" w16cid:durableId="1640308698">
    <w:abstractNumId w:val="7"/>
  </w:num>
  <w:num w:numId="43" w16cid:durableId="1197427066">
    <w:abstractNumId w:val="4"/>
  </w:num>
  <w:num w:numId="44" w16cid:durableId="1106849059">
    <w:abstractNumId w:val="18"/>
  </w:num>
  <w:num w:numId="45" w16cid:durableId="148908536">
    <w:abstractNumId w:val="36"/>
  </w:num>
  <w:num w:numId="46" w16cid:durableId="1890991301">
    <w:abstractNumId w:val="21"/>
  </w:num>
  <w:num w:numId="47" w16cid:durableId="1919752600">
    <w:abstractNumId w:val="19"/>
  </w:num>
  <w:num w:numId="48" w16cid:durableId="8277495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35A5"/>
    <w:rsid w:val="000141C1"/>
    <w:rsid w:val="00031BE0"/>
    <w:rsid w:val="00032805"/>
    <w:rsid w:val="00090DF4"/>
    <w:rsid w:val="000920AC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42A43"/>
    <w:rsid w:val="00150430"/>
    <w:rsid w:val="00153EF5"/>
    <w:rsid w:val="00185A7E"/>
    <w:rsid w:val="001873C9"/>
    <w:rsid w:val="001D0D7B"/>
    <w:rsid w:val="001D25AB"/>
    <w:rsid w:val="001F1124"/>
    <w:rsid w:val="001F4DC9"/>
    <w:rsid w:val="001F7690"/>
    <w:rsid w:val="001F7719"/>
    <w:rsid w:val="00200E97"/>
    <w:rsid w:val="00224865"/>
    <w:rsid w:val="0022517B"/>
    <w:rsid w:val="00243C75"/>
    <w:rsid w:val="00266B84"/>
    <w:rsid w:val="00271E6E"/>
    <w:rsid w:val="002829F9"/>
    <w:rsid w:val="00295934"/>
    <w:rsid w:val="00297595"/>
    <w:rsid w:val="00297B45"/>
    <w:rsid w:val="002A7F4E"/>
    <w:rsid w:val="002C3E29"/>
    <w:rsid w:val="002D54A1"/>
    <w:rsid w:val="002F76CE"/>
    <w:rsid w:val="003253C6"/>
    <w:rsid w:val="003408D1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26C76"/>
    <w:rsid w:val="004426DB"/>
    <w:rsid w:val="00445E6B"/>
    <w:rsid w:val="00452960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B0AB9"/>
    <w:rsid w:val="005B7C6E"/>
    <w:rsid w:val="005D742C"/>
    <w:rsid w:val="005F7C28"/>
    <w:rsid w:val="0060245B"/>
    <w:rsid w:val="006126FC"/>
    <w:rsid w:val="0062049B"/>
    <w:rsid w:val="006406F5"/>
    <w:rsid w:val="006433C7"/>
    <w:rsid w:val="00650F89"/>
    <w:rsid w:val="00657F9A"/>
    <w:rsid w:val="00670D1A"/>
    <w:rsid w:val="00682701"/>
    <w:rsid w:val="006954C5"/>
    <w:rsid w:val="006967B7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178C"/>
    <w:rsid w:val="007869DB"/>
    <w:rsid w:val="007A588B"/>
    <w:rsid w:val="007E77E3"/>
    <w:rsid w:val="007F321E"/>
    <w:rsid w:val="007F41A0"/>
    <w:rsid w:val="00824A74"/>
    <w:rsid w:val="00833691"/>
    <w:rsid w:val="00836628"/>
    <w:rsid w:val="008545FC"/>
    <w:rsid w:val="008D213C"/>
    <w:rsid w:val="008D3886"/>
    <w:rsid w:val="008F1198"/>
    <w:rsid w:val="009037E2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B0207D"/>
    <w:rsid w:val="00B211D3"/>
    <w:rsid w:val="00B21282"/>
    <w:rsid w:val="00B2678B"/>
    <w:rsid w:val="00B42245"/>
    <w:rsid w:val="00B85BCC"/>
    <w:rsid w:val="00BC07C2"/>
    <w:rsid w:val="00BC135E"/>
    <w:rsid w:val="00BD3A59"/>
    <w:rsid w:val="00BE3A09"/>
    <w:rsid w:val="00BF18C4"/>
    <w:rsid w:val="00BF4F28"/>
    <w:rsid w:val="00C013D5"/>
    <w:rsid w:val="00C335B6"/>
    <w:rsid w:val="00C37C83"/>
    <w:rsid w:val="00C42BFA"/>
    <w:rsid w:val="00C4439E"/>
    <w:rsid w:val="00C50686"/>
    <w:rsid w:val="00C74D90"/>
    <w:rsid w:val="00C83B7E"/>
    <w:rsid w:val="00CC7230"/>
    <w:rsid w:val="00CD0808"/>
    <w:rsid w:val="00D23742"/>
    <w:rsid w:val="00D319D8"/>
    <w:rsid w:val="00D46B57"/>
    <w:rsid w:val="00D471BF"/>
    <w:rsid w:val="00D50F12"/>
    <w:rsid w:val="00D52127"/>
    <w:rsid w:val="00D57A13"/>
    <w:rsid w:val="00D832C6"/>
    <w:rsid w:val="00D91548"/>
    <w:rsid w:val="00D960EF"/>
    <w:rsid w:val="00D97353"/>
    <w:rsid w:val="00DA506E"/>
    <w:rsid w:val="00DA7AF2"/>
    <w:rsid w:val="00DC5AEC"/>
    <w:rsid w:val="00DC5C3C"/>
    <w:rsid w:val="00DD17E7"/>
    <w:rsid w:val="00DD6CF7"/>
    <w:rsid w:val="00DE17EF"/>
    <w:rsid w:val="00DE1970"/>
    <w:rsid w:val="00E169F1"/>
    <w:rsid w:val="00E25319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1507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3</cp:revision>
  <cp:lastPrinted>2018-02-09T11:27:00Z</cp:lastPrinted>
  <dcterms:created xsi:type="dcterms:W3CDTF">2024-10-29T11:22:00Z</dcterms:created>
  <dcterms:modified xsi:type="dcterms:W3CDTF">2024-10-29T11:31:00Z</dcterms:modified>
</cp:coreProperties>
</file>