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01792683" w:rsidR="006C38B8" w:rsidRDefault="00DB5F1A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33201F14" w14:textId="77777777" w:rsidR="00DB5F1A" w:rsidRDefault="00DB5F1A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86BBFF6" w14:textId="4AF1A3A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Szanowni Państwo,</w:t>
      </w:r>
    </w:p>
    <w:p w14:paraId="78AFF304" w14:textId="7777777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10AD891" w14:textId="77777777" w:rsidR="00E751A7" w:rsidRPr="003A55CF" w:rsidRDefault="00E751A7" w:rsidP="00E751A7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W związku z zamiarem udzielenia zamówienia dotyczącego organizacji szkolenia z</w:t>
      </w:r>
      <w:r>
        <w:rPr>
          <w:rFonts w:asciiTheme="minorHAnsi" w:hAnsiTheme="minorHAnsi" w:cstheme="minorHAnsi"/>
          <w:color w:val="212121"/>
        </w:rPr>
        <w:t> </w:t>
      </w:r>
      <w:r w:rsidRPr="003A55CF">
        <w:rPr>
          <w:rFonts w:asciiTheme="minorHAnsi" w:hAnsiTheme="minorHAnsi" w:cstheme="minorHAnsi"/>
          <w:color w:val="212121"/>
        </w:rPr>
        <w:t>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4A0C9705" w:rsidR="005D742C" w:rsidRDefault="005D742C" w:rsidP="003C6B88">
      <w:pPr>
        <w:spacing w:before="100" w:beforeAutospacing="1" w:after="100" w:afterAutospacing="1" w:line="360" w:lineRule="auto"/>
        <w:jc w:val="center"/>
        <w:rPr>
          <w:rFonts w:eastAsia="Calibri"/>
          <w:b/>
          <w:bCs/>
          <w:lang w:eastAsia="ar-SA"/>
        </w:rPr>
      </w:pPr>
      <w:r w:rsidRPr="00D702FE">
        <w:rPr>
          <w:rFonts w:asciiTheme="minorHAnsi" w:hAnsiTheme="minorHAnsi" w:cstheme="minorHAnsi"/>
          <w:b/>
          <w:bCs/>
        </w:rPr>
        <w:t>„</w:t>
      </w:r>
      <w:r w:rsidR="00D702FE" w:rsidRPr="00D702FE">
        <w:rPr>
          <w:rFonts w:eastAsia="Calibri"/>
          <w:b/>
          <w:bCs/>
          <w:lang w:eastAsia="ar-SA"/>
        </w:rPr>
        <w:t xml:space="preserve">Kwalifikowalność wydatków w nowej perspektywie finansowej 2021-2027 </w:t>
      </w:r>
      <w:r w:rsidR="00786FFA">
        <w:rPr>
          <w:rFonts w:eastAsia="Calibri"/>
          <w:b/>
          <w:bCs/>
          <w:lang w:eastAsia="ar-SA"/>
        </w:rPr>
        <w:t xml:space="preserve">ze szczególnym uwzględnieniem EFS +, w tym najważniejsze </w:t>
      </w:r>
      <w:r w:rsidR="00D702FE" w:rsidRPr="00D702FE">
        <w:rPr>
          <w:rFonts w:eastAsia="Calibri"/>
          <w:b/>
          <w:bCs/>
          <w:lang w:eastAsia="ar-SA"/>
        </w:rPr>
        <w:t xml:space="preserve">zmiany w zasadach </w:t>
      </w:r>
      <w:r w:rsidR="00786FFA">
        <w:rPr>
          <w:rFonts w:eastAsia="Calibri"/>
          <w:b/>
          <w:bCs/>
          <w:lang w:eastAsia="ar-SA"/>
        </w:rPr>
        <w:t>kwalifikowalności”</w:t>
      </w:r>
    </w:p>
    <w:p w14:paraId="2397E7C6" w14:textId="4EDA9104" w:rsidR="00E751A7" w:rsidRPr="00E751A7" w:rsidRDefault="00E751A7" w:rsidP="00E751A7">
      <w:pPr>
        <w:pStyle w:val="TekstPodstawowy"/>
        <w:spacing w:line="276" w:lineRule="auto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eastAsia="pl-PL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63A5067" w14:textId="77777777" w:rsidR="00B947A8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00B3C8B" w14:textId="77777777" w:rsidR="008F4D6C" w:rsidRPr="00AF0195" w:rsidRDefault="008F4D6C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</w:p>
    <w:p w14:paraId="6F5BA12E" w14:textId="29FE3651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1. Ramy prawne i finansowe w nowej perspektywie 2021–2027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29435806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Kluczowe regulacje w zakresie kwalifikowalności wydatków – przegląd podstaw prawnych</w:t>
      </w:r>
    </w:p>
    <w:p w14:paraId="1794B0D4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Rozporządzenie ogólne nr 2021/1060 – główne zmiany i ich wpływ na realizację projektów</w:t>
      </w:r>
    </w:p>
    <w:p w14:paraId="3E5075E7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Nowe priorytety i formy finansowania w perspektywie 2021–2027</w:t>
      </w:r>
    </w:p>
    <w:p w14:paraId="2FC8044C" w14:textId="77777777" w:rsidR="008F4D6C" w:rsidRPr="007122BA" w:rsidRDefault="008F4D6C" w:rsidP="00D702FE">
      <w:pPr>
        <w:numPr>
          <w:ilvl w:val="0"/>
          <w:numId w:val="6"/>
        </w:numPr>
        <w:spacing w:after="160" w:line="259" w:lineRule="auto"/>
      </w:pPr>
      <w:r w:rsidRPr="007122BA">
        <w:t>Różnice względem poprzedniego okresu programowania (2014–2020)</w:t>
      </w:r>
    </w:p>
    <w:p w14:paraId="2759A83C" w14:textId="18767DE5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2. Wytyczne kwalifikowalności wydatków – interpretacja i zastosowanie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3597CA5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Zakres obowiązywania i cel dokumentu na lata 2021–2027</w:t>
      </w:r>
    </w:p>
    <w:p w14:paraId="1B3AE69E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Zasady ogólne dotyczące kwalifikowania kosztów</w:t>
      </w:r>
    </w:p>
    <w:p w14:paraId="3DAE01E8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Kategorie wydatków wyłączonych z kwalifikowalności</w:t>
      </w:r>
    </w:p>
    <w:p w14:paraId="578BF832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Finansowanie krzyżowe (cross-</w:t>
      </w:r>
      <w:proofErr w:type="spellStart"/>
      <w:r w:rsidRPr="007122BA">
        <w:t>financing</w:t>
      </w:r>
      <w:proofErr w:type="spellEnd"/>
      <w:r w:rsidRPr="007122BA">
        <w:t>) i stosowanie reguły proporcjonalności</w:t>
      </w:r>
    </w:p>
    <w:p w14:paraId="2FBD8AF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Efekty projektu a sposób ich rozliczania</w:t>
      </w:r>
    </w:p>
    <w:p w14:paraId="1589797B" w14:textId="77777777" w:rsidR="008F4D6C" w:rsidRPr="007122BA" w:rsidRDefault="008F4D6C" w:rsidP="00D702FE">
      <w:pPr>
        <w:numPr>
          <w:ilvl w:val="0"/>
          <w:numId w:val="7"/>
        </w:numPr>
        <w:spacing w:after="160" w:line="259" w:lineRule="auto"/>
      </w:pPr>
      <w:r w:rsidRPr="007122BA">
        <w:t>Przegląd najnowszych propozycji zmian (projekt z listopada 2023 r.)</w:t>
      </w:r>
    </w:p>
    <w:p w14:paraId="5606234C" w14:textId="14C88413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lastRenderedPageBreak/>
        <w:t>3. Warunki szczególne kwalifikowalności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4484FC9E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t>Zasada rzeczywistego ponoszenia kosztów</w:t>
      </w:r>
    </w:p>
    <w:p w14:paraId="3CDC035A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t>Tożsamość podmiotu realizującego i ponoszącego wydatki</w:t>
      </w:r>
    </w:p>
    <w:p w14:paraId="5F79783F" w14:textId="77777777" w:rsidR="008F4D6C" w:rsidRPr="007122BA" w:rsidRDefault="008F4D6C" w:rsidP="00D702FE">
      <w:pPr>
        <w:numPr>
          <w:ilvl w:val="0"/>
          <w:numId w:val="8"/>
        </w:numPr>
        <w:spacing w:after="160" w:line="259" w:lineRule="auto"/>
      </w:pPr>
      <w:r w:rsidRPr="007122BA">
        <w:t>Zagadnienia praktyczne i typowe błędy</w:t>
      </w:r>
    </w:p>
    <w:p w14:paraId="5206FFF2" w14:textId="6B7F841F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4. Obowiązki beneficjenta w kontekście rozliczeń i kontroli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7195D8CD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Wymóg prowadzenia wyodrębnionej ewidencji finansowo-księgowej</w:t>
      </w:r>
    </w:p>
    <w:p w14:paraId="1CAB3446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Aktualne zasady dotyczące promocji i oznakowania projektów</w:t>
      </w:r>
    </w:p>
    <w:p w14:paraId="6F012862" w14:textId="77777777" w:rsidR="008F4D6C" w:rsidRPr="007122BA" w:rsidRDefault="008F4D6C" w:rsidP="00D702FE">
      <w:pPr>
        <w:numPr>
          <w:ilvl w:val="0"/>
          <w:numId w:val="9"/>
        </w:numPr>
        <w:spacing w:after="160" w:line="259" w:lineRule="auto"/>
      </w:pPr>
      <w:r w:rsidRPr="007122BA">
        <w:t>Obowiązki archiwizacyjne oraz utrzymania trwałości rezultatów projektu</w:t>
      </w:r>
    </w:p>
    <w:p w14:paraId="1A773855" w14:textId="15FC9472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5. Zasada konkurencyjności w zamówieniach projektowych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6AB8CAC0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Tryby udzielania zamówień w projektach współfinansowanych</w:t>
      </w:r>
    </w:p>
    <w:p w14:paraId="4E471897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Stosowanie zasady konkurencyjności z użyciem aplikacji BK2021</w:t>
      </w:r>
    </w:p>
    <w:p w14:paraId="188747D4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Nowe podejście do zamówień o wartości poniżej 50 000 zł netto</w:t>
      </w:r>
    </w:p>
    <w:p w14:paraId="18DB43DE" w14:textId="77777777" w:rsidR="008F4D6C" w:rsidRPr="007122BA" w:rsidRDefault="008F4D6C" w:rsidP="00D702FE">
      <w:pPr>
        <w:numPr>
          <w:ilvl w:val="0"/>
          <w:numId w:val="10"/>
        </w:numPr>
        <w:spacing w:after="160" w:line="259" w:lineRule="auto"/>
      </w:pPr>
      <w:r w:rsidRPr="007122BA">
        <w:t>Porównanie zmian względem zasad z lat 2014–2020</w:t>
      </w:r>
    </w:p>
    <w:p w14:paraId="2EC769CD" w14:textId="15D7A492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6. Kategorie kosztów kwalifikowalnych – praktyczne omówienie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3332A242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Koszty rzeczowe i osobowe – zakres kwalifikowalności</w:t>
      </w:r>
    </w:p>
    <w:p w14:paraId="38878E13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Wkład niepieniężny i koszty związane z nieruchomościami</w:t>
      </w:r>
    </w:p>
    <w:p w14:paraId="43624F69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Podatek VAT a możliwość jego refundacji</w:t>
      </w:r>
    </w:p>
    <w:p w14:paraId="2D8D4730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Amortyzacja, leasing i zakup środków trwałych oraz wartości niematerialnych i prawnych</w:t>
      </w:r>
    </w:p>
    <w:p w14:paraId="1FF0C053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Koszty wynagrodzeń personelu</w:t>
      </w:r>
    </w:p>
    <w:p w14:paraId="720EF95B" w14:textId="77777777" w:rsidR="008F4D6C" w:rsidRPr="007122BA" w:rsidRDefault="008F4D6C" w:rsidP="00D702FE">
      <w:pPr>
        <w:numPr>
          <w:ilvl w:val="0"/>
          <w:numId w:val="11"/>
        </w:numPr>
        <w:spacing w:after="160" w:line="259" w:lineRule="auto"/>
      </w:pPr>
      <w:r w:rsidRPr="007122BA">
        <w:t>Wydatki niestandardowe i szczególne przypadki</w:t>
      </w:r>
    </w:p>
    <w:p w14:paraId="438103A8" w14:textId="0CD12FA3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7. Uproszczone formy rozliczania wydatków</w:t>
      </w:r>
      <w:r>
        <w:rPr>
          <w:b/>
          <w:bCs/>
        </w:rPr>
        <w:t xml:space="preserve"> – EFS+</w:t>
      </w:r>
      <w:r w:rsidR="00D702FE">
        <w:rPr>
          <w:b/>
          <w:bCs/>
        </w:rPr>
        <w:br/>
      </w:r>
    </w:p>
    <w:p w14:paraId="47761793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Kiedy i jak stosować metody uproszczone</w:t>
      </w:r>
    </w:p>
    <w:p w14:paraId="1873508D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Katalog kosztów pośrednich i reguły ich rozliczania</w:t>
      </w:r>
    </w:p>
    <w:p w14:paraId="1AE5E527" w14:textId="77777777" w:rsidR="008F4D6C" w:rsidRPr="007122BA" w:rsidRDefault="008F4D6C" w:rsidP="00D702FE">
      <w:pPr>
        <w:numPr>
          <w:ilvl w:val="0"/>
          <w:numId w:val="12"/>
        </w:numPr>
        <w:spacing w:after="160" w:line="259" w:lineRule="auto"/>
      </w:pPr>
      <w:r w:rsidRPr="007122BA">
        <w:t>Ograniczenia i ryzyka związane z uproszczonymi metodami</w:t>
      </w:r>
    </w:p>
    <w:p w14:paraId="0094B7ED" w14:textId="77777777" w:rsidR="008F4D6C" w:rsidRPr="007122BA" w:rsidRDefault="008F4D6C" w:rsidP="008F4D6C">
      <w:pPr>
        <w:rPr>
          <w:b/>
          <w:bCs/>
        </w:rPr>
      </w:pPr>
      <w:r w:rsidRPr="007122BA">
        <w:rPr>
          <w:b/>
          <w:bCs/>
        </w:rPr>
        <w:t>8. Sesja pytań i odpowiedzi oraz zakończenie szkolenia</w:t>
      </w:r>
    </w:p>
    <w:p w14:paraId="6F18FBA2" w14:textId="77777777" w:rsidR="007A0C74" w:rsidRPr="00BB013C" w:rsidRDefault="007A0C74" w:rsidP="007A0C74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76AFCA3" w14:textId="77777777" w:rsidR="00D04FD3" w:rsidRDefault="00D04FD3" w:rsidP="00D04FD3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4"/>
          <w:szCs w:val="24"/>
          <w:lang w:eastAsia="pl-PL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5BAE266E" w14:textId="77777777" w:rsidR="00D04FD3" w:rsidRPr="005B0AB9" w:rsidRDefault="00D04FD3" w:rsidP="00D04FD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lastRenderedPageBreak/>
        <w:t>z wyposażeniem (w tym rzutnik multimedialny, laptop, flipchart, ekran, itp.)</w:t>
      </w:r>
    </w:p>
    <w:p w14:paraId="39889219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702FE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01C2F112" w14:textId="77777777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85F085A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10D02536" w14:textId="77777777" w:rsidR="00D04FD3" w:rsidRPr="005B0AB9" w:rsidRDefault="00D04FD3" w:rsidP="00D702FE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F4868E6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Ocenie będą podlegały oferty ważne tj. oferty niepodlegające odrzuceniu ze względu na niespełnienie wymagań.</w:t>
      </w:r>
    </w:p>
    <w:p w14:paraId="37ED150C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Oferta która wpłynie po terminie nie będzie rozpatrywana.</w:t>
      </w:r>
    </w:p>
    <w:p w14:paraId="1D4D50DE" w14:textId="77777777" w:rsidR="00750F08" w:rsidRP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>W celu zapewnienia porównywalności wszystkich ofert, Zamawiający zastrzega sobie prawo do skontaktowania się z właściwymi Wykonawcami, w celu uzupełnienia lub doprecyzowania ofert.</w:t>
      </w:r>
    </w:p>
    <w:p w14:paraId="3A241084" w14:textId="77777777" w:rsidR="00750F08" w:rsidRDefault="00750F08" w:rsidP="00D702FE">
      <w:pPr>
        <w:pStyle w:val="NormalnyWeb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750F08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593ADE6" w14:textId="77777777" w:rsidR="00750F08" w:rsidRPr="00750F08" w:rsidRDefault="00750F08" w:rsidP="00750F08">
      <w:pPr>
        <w:pStyle w:val="NormalnyWeb"/>
        <w:spacing w:line="276" w:lineRule="auto"/>
        <w:ind w:left="1068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149A76D1" w14:textId="77777777" w:rsidR="00750F08" w:rsidRPr="00FC2AC7" w:rsidRDefault="00750F08" w:rsidP="00750F08">
      <w:pPr>
        <w:pStyle w:val="NormalnyWeb"/>
        <w:ind w:left="1068"/>
        <w:jc w:val="both"/>
        <w:rPr>
          <w:rStyle w:val="Pogrubienie"/>
          <w:color w:val="212121"/>
        </w:rPr>
      </w:pPr>
      <w:r w:rsidRPr="00224865">
        <w:rPr>
          <w:rStyle w:val="Pogrubienie"/>
          <w:rFonts w:ascii="Calibri" w:hAnsi="Calibri" w:cs="Calibri"/>
          <w:color w:val="212121"/>
          <w:sz w:val="22"/>
          <w:szCs w:val="22"/>
          <w:u w:val="single"/>
        </w:rPr>
        <w:t>Cena</w:t>
      </w:r>
      <w:r w:rsidRPr="00224865">
        <w:rPr>
          <w:rFonts w:ascii="Calibri" w:hAnsi="Calibri" w:cs="Calibri"/>
          <w:color w:val="212121"/>
          <w:sz w:val="22"/>
          <w:szCs w:val="22"/>
          <w:u w:val="single"/>
        </w:rPr>
        <w:t xml:space="preserve"> </w:t>
      </w: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przeprowadzenia szkolenia</w:t>
      </w:r>
      <w:r>
        <w:rPr>
          <w:rFonts w:ascii="Calibri" w:hAnsi="Calibri" w:cs="Calibri"/>
          <w:color w:val="212121"/>
          <w:sz w:val="22"/>
          <w:szCs w:val="22"/>
        </w:rPr>
        <w:t xml:space="preserve"> (wyliczona zgodnie ze wskazaniem Zamawiającego, tj. stawka za 1 osobę x liczba osób)-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>waga 55% (max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rStyle w:val="Pogrubienie"/>
          <w:rFonts w:ascii="Calibri" w:hAnsi="Calibri" w:cs="Calibri"/>
          <w:color w:val="212121"/>
          <w:sz w:val="22"/>
          <w:szCs w:val="22"/>
        </w:rPr>
        <w:t>55 pkt);</w:t>
      </w:r>
    </w:p>
    <w:p w14:paraId="26592B70" w14:textId="77777777" w:rsidR="00750F08" w:rsidRPr="00422287" w:rsidRDefault="00750F08" w:rsidP="00CD1252">
      <w:pPr>
        <w:pStyle w:val="NormalnyWeb"/>
        <w:jc w:val="both"/>
        <w:rPr>
          <w:rStyle w:val="Pogrubienie"/>
          <w:color w:val="212121"/>
        </w:rPr>
      </w:pPr>
    </w:p>
    <w:p w14:paraId="12026EAA" w14:textId="77777777" w:rsidR="00105D1C" w:rsidRDefault="00105D1C" w:rsidP="00750F08">
      <w:pPr>
        <w:pStyle w:val="NormalnyWeb"/>
        <w:spacing w:line="276" w:lineRule="auto"/>
        <w:ind w:left="993"/>
        <w:jc w:val="both"/>
        <w:rPr>
          <w:rFonts w:ascii="Calibri" w:hAnsi="Calibri" w:cs="Calibri"/>
          <w:b/>
          <w:bCs/>
          <w:color w:val="212121"/>
          <w:sz w:val="22"/>
          <w:szCs w:val="22"/>
          <w:u w:val="single"/>
        </w:rPr>
      </w:pPr>
    </w:p>
    <w:p w14:paraId="45E440DA" w14:textId="1CB62050" w:rsidR="00750F08" w:rsidRPr="00FA656E" w:rsidRDefault="00750F08" w:rsidP="00750F08">
      <w:pPr>
        <w:pStyle w:val="NormalnyWeb"/>
        <w:spacing w:line="276" w:lineRule="auto"/>
        <w:ind w:left="993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24865">
        <w:rPr>
          <w:rFonts w:ascii="Calibri" w:hAnsi="Calibri" w:cs="Calibri"/>
          <w:b/>
          <w:bCs/>
          <w:color w:val="212121"/>
          <w:sz w:val="22"/>
          <w:szCs w:val="22"/>
          <w:u w:val="single"/>
        </w:rPr>
        <w:t>Doświadczenie trenera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 xml:space="preserve"> -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="Calibri" w:eastAsia="Calibri" w:hAnsi="Calibri" w:cs="Calibri"/>
          <w:sz w:val="22"/>
          <w:szCs w:val="22"/>
          <w:lang w:eastAsia="ar-SA"/>
        </w:rPr>
        <w:t>liczba przeprowadzonych szkoleń przez wskazanego trenera</w:t>
      </w:r>
      <w:r w:rsidRPr="00FA656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FA656E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FA656E">
        <w:rPr>
          <w:rFonts w:asciiTheme="minorHAnsi" w:eastAsia="Calibri" w:hAnsiTheme="minorHAnsi" w:cstheme="minorHAnsi"/>
          <w:b/>
          <w:color w:val="212121"/>
          <w:sz w:val="22"/>
          <w:szCs w:val="22"/>
          <w:lang w:eastAsia="ar-SA"/>
        </w:rPr>
        <w:t>waga 45% (max 45 pkt)</w:t>
      </w:r>
    </w:p>
    <w:p w14:paraId="6098CAE1" w14:textId="77777777" w:rsidR="00750F08" w:rsidRPr="00CD1681" w:rsidRDefault="00750F08" w:rsidP="00750F08">
      <w:pPr>
        <w:ind w:left="720"/>
        <w:jc w:val="both"/>
        <w:rPr>
          <w:rFonts w:asciiTheme="minorHAnsi" w:hAnsiTheme="minorHAnsi" w:cstheme="minorHAnsi"/>
          <w:bCs/>
          <w:color w:val="212121"/>
        </w:rPr>
      </w:pPr>
    </w:p>
    <w:p w14:paraId="4400EEE3" w14:textId="77777777" w:rsidR="007A0C74" w:rsidRPr="00C4439E" w:rsidRDefault="007A0C74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04B80AEE" w:rsidR="005C0FA2" w:rsidRPr="006433C7" w:rsidRDefault="005C0FA2" w:rsidP="00D702FE">
      <w:pPr>
        <w:pStyle w:val="Akapitzlist"/>
        <w:numPr>
          <w:ilvl w:val="0"/>
          <w:numId w:val="2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lastRenderedPageBreak/>
        <w:t>minimum 3 -  letnie, udokumentowane doświadczenie w prowadzeniu szkoleń z zakresu</w:t>
      </w:r>
      <w:r w:rsidR="00AF0195" w:rsidRPr="00AF0195">
        <w:rPr>
          <w:rFonts w:eastAsia="Calibri"/>
          <w:lang w:eastAsia="ar-SA"/>
        </w:rPr>
        <w:t xml:space="preserve"> </w:t>
      </w:r>
      <w:r w:rsidR="008F4D6C">
        <w:rPr>
          <w:rFonts w:eastAsia="Calibri"/>
          <w:lang w:eastAsia="ar-SA"/>
        </w:rPr>
        <w:t xml:space="preserve"> kwalifikowalności wydatków w nowej perspektywie finansowej 2021-2027 </w:t>
      </w:r>
      <w:r w:rsidR="00AF0195">
        <w:rPr>
          <w:rFonts w:eastAsia="Calibri"/>
          <w:lang w:eastAsia="ar-SA"/>
        </w:rPr>
        <w:t>w</w:t>
      </w:r>
      <w:r w:rsidR="008F4D6C">
        <w:rPr>
          <w:rFonts w:eastAsia="Calibri"/>
          <w:lang w:eastAsia="ar-SA"/>
        </w:rPr>
        <w:t xml:space="preserve"> ramach EFS +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>
        <w:rPr>
          <w:rFonts w:eastAsia="Calibri"/>
          <w:lang w:eastAsia="ar-SA"/>
        </w:rPr>
        <w:t>20</w:t>
      </w:r>
      <w:r w:rsidR="007A0C74">
        <w:rPr>
          <w:rFonts w:eastAsia="Calibri"/>
          <w:lang w:eastAsia="ar-SA"/>
        </w:rPr>
        <w:t xml:space="preserve"> </w:t>
      </w:r>
      <w:r w:rsidRPr="005C0FA2">
        <w:rPr>
          <w:rFonts w:eastAsia="Calibri"/>
          <w:lang w:eastAsia="ar-SA"/>
        </w:rPr>
        <w:t xml:space="preserve">szkoleń z zakresu </w:t>
      </w:r>
      <w:r w:rsidR="008F4D6C">
        <w:rPr>
          <w:rFonts w:eastAsia="Calibri"/>
          <w:lang w:eastAsia="ar-SA"/>
        </w:rPr>
        <w:t xml:space="preserve">kwalifikowalności wydatków w nowej perspektywie finansowej 2021-2027 w ramach EFS + </w:t>
      </w:r>
      <w:r w:rsidRPr="005C0FA2">
        <w:rPr>
          <w:rFonts w:eastAsia="Calibri"/>
          <w:lang w:eastAsia="ar-SA"/>
        </w:rPr>
        <w:t>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72080F6C" w:rsidR="005C0FA2" w:rsidRDefault="00B947A8" w:rsidP="003A2A9B">
      <w:p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>minimum 3 -  letnie, udokumentowane doświadczenie w prowadzeniu szkoleń z</w:t>
      </w:r>
      <w:r w:rsidR="00F84D51">
        <w:rPr>
          <w:rFonts w:eastAsia="Calibri"/>
          <w:lang w:eastAsia="ar-SA"/>
        </w:rPr>
        <w:t xml:space="preserve"> </w:t>
      </w:r>
      <w:r w:rsidR="00F84D51" w:rsidRPr="005C0FA2">
        <w:rPr>
          <w:rFonts w:eastAsia="Calibri"/>
          <w:lang w:eastAsia="ar-SA"/>
        </w:rPr>
        <w:t>zakresu</w:t>
      </w:r>
      <w:r w:rsidR="008F4D6C" w:rsidRPr="008F4D6C">
        <w:rPr>
          <w:rFonts w:eastAsia="Calibri"/>
          <w:lang w:eastAsia="ar-SA"/>
        </w:rPr>
        <w:t xml:space="preserve"> </w:t>
      </w:r>
      <w:r w:rsidR="008F4D6C">
        <w:rPr>
          <w:rFonts w:eastAsia="Calibri"/>
          <w:lang w:eastAsia="ar-SA"/>
        </w:rPr>
        <w:t>kwalifikowalności wydatków w nowej perspektywie finansowej 2021-2027 w ramach EFS +</w:t>
      </w:r>
      <w:r w:rsidR="005C0FA2"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95E11">
        <w:rPr>
          <w:rFonts w:eastAsia="Calibri"/>
          <w:lang w:eastAsia="ar-SA"/>
        </w:rPr>
        <w:t>2</w:t>
      </w:r>
      <w:r w:rsidR="005C0FA2" w:rsidRPr="00F84D51">
        <w:rPr>
          <w:rFonts w:eastAsia="Calibri"/>
          <w:lang w:eastAsia="ar-SA"/>
        </w:rPr>
        <w:t>0</w:t>
      </w:r>
      <w:r w:rsidR="005C0FA2" w:rsidRPr="005C0FA2">
        <w:rPr>
          <w:rFonts w:eastAsia="Calibri"/>
          <w:lang w:eastAsia="ar-SA"/>
        </w:rPr>
        <w:t xml:space="preserve"> szkoleń z zakresu </w:t>
      </w:r>
      <w:r w:rsidR="00795E11">
        <w:rPr>
          <w:rFonts w:eastAsia="Calibri"/>
          <w:lang w:eastAsia="ar-SA"/>
        </w:rPr>
        <w:t xml:space="preserve">kwalifikowalności wydatków w nowej perspektywie finansowej </w:t>
      </w:r>
      <w:r w:rsidR="00F6580B">
        <w:rPr>
          <w:rFonts w:eastAsia="Calibri"/>
          <w:lang w:eastAsia="ar-SA"/>
        </w:rPr>
        <w:br/>
      </w:r>
      <w:r w:rsidR="00795E11">
        <w:rPr>
          <w:rFonts w:eastAsia="Calibri"/>
          <w:lang w:eastAsia="ar-SA"/>
        </w:rPr>
        <w:t xml:space="preserve">2021-2027 w ramach EFS + </w:t>
      </w:r>
      <w:r w:rsidR="00B06219">
        <w:rPr>
          <w:rFonts w:eastAsia="Calibri"/>
          <w:lang w:eastAsia="ar-SA"/>
        </w:rPr>
        <w:t>d</w:t>
      </w:r>
      <w:r w:rsidR="005C0FA2" w:rsidRPr="005C0FA2">
        <w:rPr>
          <w:rFonts w:eastAsia="Calibri"/>
          <w:lang w:eastAsia="ar-SA"/>
        </w:rPr>
        <w:t>la co najmniej 10 osobowych grup uczestników.</w:t>
      </w:r>
    </w:p>
    <w:p w14:paraId="5EC400A6" w14:textId="77777777" w:rsidR="00750F08" w:rsidRDefault="00750F08" w:rsidP="003A2A9B">
      <w:pPr>
        <w:jc w:val="both"/>
        <w:rPr>
          <w:rFonts w:eastAsia="Calibri"/>
          <w:lang w:eastAsia="ar-SA"/>
        </w:rPr>
      </w:pPr>
    </w:p>
    <w:p w14:paraId="2FBC72CB" w14:textId="77777777" w:rsidR="00750F08" w:rsidRPr="00F84D51" w:rsidRDefault="00750F08" w:rsidP="003A2A9B">
      <w:pPr>
        <w:jc w:val="both"/>
        <w:rPr>
          <w:rFonts w:eastAsia="Calibri"/>
          <w:lang w:eastAsia="ar-SA"/>
        </w:rPr>
      </w:pP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406A3B52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8F4D6C">
        <w:rPr>
          <w:rStyle w:val="Pogrubienie"/>
          <w:rFonts w:asciiTheme="minorHAnsi" w:hAnsiTheme="minorHAnsi" w:cstheme="minorHAnsi"/>
          <w:color w:val="212121"/>
        </w:rPr>
        <w:t>19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8F4D6C">
        <w:rPr>
          <w:rStyle w:val="Pogrubienie"/>
          <w:rFonts w:asciiTheme="minorHAnsi" w:hAnsiTheme="minorHAnsi" w:cstheme="minorHAnsi"/>
          <w:color w:val="212121"/>
        </w:rPr>
        <w:t xml:space="preserve"> w podziale na 2 grupy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8F4D6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17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D702FE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2A3D4CBC" w14:textId="18AF9BF5" w:rsidR="00D4713C" w:rsidRPr="00496490" w:rsidRDefault="005D742C" w:rsidP="00D4713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496490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2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szkolenia 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jednodniowe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(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</w:t>
      </w:r>
      <w:r w:rsidR="008F4D6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zień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</w:t>
      </w:r>
      <w:r w:rsidR="00377D6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każdego dnia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powinien obejmować co najmniej 8 godzin szkoleniowych, z trzema przerwami; godzina szkoleniowa = 45 min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8F4D6C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D4713C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0CB582BF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430574C2" w14:textId="7363AFD0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8F4D6C">
        <w:rPr>
          <w:rStyle w:val="Pogrubienie"/>
          <w:rFonts w:asciiTheme="minorHAnsi" w:hAnsiTheme="minorHAnsi" w:cstheme="minorHAnsi"/>
          <w:color w:val="212121"/>
        </w:rPr>
        <w:t>wrzesień-październik</w:t>
      </w:r>
      <w:r w:rsidR="00DF07E1">
        <w:rPr>
          <w:rStyle w:val="Pogrubienie"/>
          <w:rFonts w:asciiTheme="minorHAnsi" w:hAnsiTheme="minorHAnsi" w:cstheme="minorHAnsi"/>
          <w:color w:val="212121"/>
        </w:rPr>
        <w:t xml:space="preserve"> 2025r.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6CCB7924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</w:t>
      </w:r>
      <w:r w:rsidR="00CD1252">
        <w:rPr>
          <w:rFonts w:asciiTheme="minorHAnsi" w:hAnsiTheme="minorHAnsi" w:cstheme="minorHAnsi"/>
          <w:color w:val="212121"/>
        </w:rPr>
        <w:t xml:space="preserve"> szacunkowej </w:t>
      </w:r>
      <w:r w:rsidRPr="003A55CF">
        <w:rPr>
          <w:rFonts w:asciiTheme="minorHAnsi" w:hAnsiTheme="minorHAnsi" w:cstheme="minorHAnsi"/>
          <w:color w:val="212121"/>
        </w:rPr>
        <w:t>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865EA5" w:rsidRPr="00865EA5">
        <w:rPr>
          <w:rFonts w:asciiTheme="minorHAnsi" w:hAnsiTheme="minorHAnsi" w:cstheme="minorHAnsi"/>
          <w:b/>
          <w:bCs/>
          <w:color w:val="212121"/>
        </w:rPr>
        <w:t xml:space="preserve">5 sierpnia </w:t>
      </w:r>
      <w:r w:rsidR="006E62B5">
        <w:rPr>
          <w:rFonts w:asciiTheme="minorHAnsi" w:hAnsiTheme="minorHAnsi" w:cstheme="minorHAnsi"/>
          <w:b/>
          <w:bCs/>
          <w:color w:val="212121"/>
        </w:rPr>
        <w:t>2025</w:t>
      </w:r>
      <w:r w:rsidR="00481874" w:rsidRPr="00865EA5">
        <w:t xml:space="preserve"> </w:t>
      </w:r>
      <w:r w:rsidR="001F7690" w:rsidRPr="00865EA5"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8F4D6C">
        <w:rPr>
          <w:rStyle w:val="Pogrubienie"/>
          <w:rFonts w:asciiTheme="minorHAnsi" w:hAnsiTheme="minorHAnsi" w:cstheme="minorHAnsi"/>
          <w:color w:val="212121"/>
        </w:rPr>
        <w:t>Kwalifikowalność EFS”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CEBBDB6" w14:textId="77777777" w:rsidR="001D63A5" w:rsidRPr="003B6F1D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3B6F1D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3B6F1D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Default="001D63A5" w:rsidP="00D702FE">
      <w:pPr>
        <w:pStyle w:val="Akapitzlist"/>
        <w:numPr>
          <w:ilvl w:val="0"/>
          <w:numId w:val="4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Default="001D63A5" w:rsidP="00D702F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lastRenderedPageBreak/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983"/>
    <w:multiLevelType w:val="multilevel"/>
    <w:tmpl w:val="738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D2193"/>
    <w:multiLevelType w:val="multilevel"/>
    <w:tmpl w:val="5C3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093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31D90"/>
    <w:multiLevelType w:val="multilevel"/>
    <w:tmpl w:val="C7D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CA01FB"/>
    <w:multiLevelType w:val="multilevel"/>
    <w:tmpl w:val="407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F6112"/>
    <w:multiLevelType w:val="multilevel"/>
    <w:tmpl w:val="613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03A95"/>
    <w:multiLevelType w:val="multilevel"/>
    <w:tmpl w:val="34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7D49324C"/>
    <w:multiLevelType w:val="multilevel"/>
    <w:tmpl w:val="A74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72593">
    <w:abstractNumId w:val="10"/>
  </w:num>
  <w:num w:numId="2" w16cid:durableId="1640308698">
    <w:abstractNumId w:val="4"/>
  </w:num>
  <w:num w:numId="3" w16cid:durableId="2060590940">
    <w:abstractNumId w:val="6"/>
  </w:num>
  <w:num w:numId="4" w16cid:durableId="1197427066">
    <w:abstractNumId w:val="0"/>
  </w:num>
  <w:num w:numId="5" w16cid:durableId="51738265">
    <w:abstractNumId w:val="3"/>
  </w:num>
  <w:num w:numId="6" w16cid:durableId="1005867139">
    <w:abstractNumId w:val="2"/>
  </w:num>
  <w:num w:numId="7" w16cid:durableId="255095874">
    <w:abstractNumId w:val="9"/>
  </w:num>
  <w:num w:numId="8" w16cid:durableId="588000415">
    <w:abstractNumId w:val="8"/>
  </w:num>
  <w:num w:numId="9" w16cid:durableId="207423402">
    <w:abstractNumId w:val="1"/>
  </w:num>
  <w:num w:numId="10" w16cid:durableId="1434474055">
    <w:abstractNumId w:val="7"/>
  </w:num>
  <w:num w:numId="11" w16cid:durableId="1993288629">
    <w:abstractNumId w:val="5"/>
  </w:num>
  <w:num w:numId="12" w16cid:durableId="189500504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1857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05D1C"/>
    <w:rsid w:val="00122F96"/>
    <w:rsid w:val="0013225E"/>
    <w:rsid w:val="00140BBF"/>
    <w:rsid w:val="00140DBC"/>
    <w:rsid w:val="00147BA9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E18E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425CA"/>
    <w:rsid w:val="00650F89"/>
    <w:rsid w:val="00653870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62B5"/>
    <w:rsid w:val="006E7727"/>
    <w:rsid w:val="006F41BE"/>
    <w:rsid w:val="00717301"/>
    <w:rsid w:val="00727869"/>
    <w:rsid w:val="00736290"/>
    <w:rsid w:val="00750F08"/>
    <w:rsid w:val="007801AE"/>
    <w:rsid w:val="007869DB"/>
    <w:rsid w:val="00786FFA"/>
    <w:rsid w:val="00795E11"/>
    <w:rsid w:val="007A0C74"/>
    <w:rsid w:val="007A588B"/>
    <w:rsid w:val="007E77E3"/>
    <w:rsid w:val="007F321E"/>
    <w:rsid w:val="007F41A0"/>
    <w:rsid w:val="00824A74"/>
    <w:rsid w:val="008545FC"/>
    <w:rsid w:val="00865EA5"/>
    <w:rsid w:val="008D213C"/>
    <w:rsid w:val="008D3886"/>
    <w:rsid w:val="008F1198"/>
    <w:rsid w:val="008F4D6C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F0195"/>
    <w:rsid w:val="00B0207D"/>
    <w:rsid w:val="00B06219"/>
    <w:rsid w:val="00B211D3"/>
    <w:rsid w:val="00B21282"/>
    <w:rsid w:val="00B2678B"/>
    <w:rsid w:val="00B42245"/>
    <w:rsid w:val="00B66D92"/>
    <w:rsid w:val="00B85BCC"/>
    <w:rsid w:val="00B947A8"/>
    <w:rsid w:val="00BB013C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CD1252"/>
    <w:rsid w:val="00D04FD3"/>
    <w:rsid w:val="00D23742"/>
    <w:rsid w:val="00D319D8"/>
    <w:rsid w:val="00D45D86"/>
    <w:rsid w:val="00D4713C"/>
    <w:rsid w:val="00D50F12"/>
    <w:rsid w:val="00D57A13"/>
    <w:rsid w:val="00D702FE"/>
    <w:rsid w:val="00D91548"/>
    <w:rsid w:val="00D960EF"/>
    <w:rsid w:val="00DA506E"/>
    <w:rsid w:val="00DB5F1A"/>
    <w:rsid w:val="00DD17E7"/>
    <w:rsid w:val="00DD6CF7"/>
    <w:rsid w:val="00DE17EF"/>
    <w:rsid w:val="00DE1970"/>
    <w:rsid w:val="00DF07E1"/>
    <w:rsid w:val="00DF76FE"/>
    <w:rsid w:val="00E169F1"/>
    <w:rsid w:val="00E241A5"/>
    <w:rsid w:val="00E507B2"/>
    <w:rsid w:val="00E751A7"/>
    <w:rsid w:val="00E848D2"/>
    <w:rsid w:val="00E8521F"/>
    <w:rsid w:val="00EB50B2"/>
    <w:rsid w:val="00EB67C4"/>
    <w:rsid w:val="00EE19DA"/>
    <w:rsid w:val="00F0634C"/>
    <w:rsid w:val="00F314AE"/>
    <w:rsid w:val="00F42CFF"/>
    <w:rsid w:val="00F442AA"/>
    <w:rsid w:val="00F6580B"/>
    <w:rsid w:val="00F7436F"/>
    <w:rsid w:val="00F84D51"/>
    <w:rsid w:val="00F9682D"/>
    <w:rsid w:val="00FB780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1172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Urlińska Kinga</cp:lastModifiedBy>
  <cp:revision>8</cp:revision>
  <cp:lastPrinted>2018-02-09T11:27:00Z</cp:lastPrinted>
  <dcterms:created xsi:type="dcterms:W3CDTF">2025-07-30T06:22:00Z</dcterms:created>
  <dcterms:modified xsi:type="dcterms:W3CDTF">2025-07-30T13:14:00Z</dcterms:modified>
</cp:coreProperties>
</file>